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26"/>
        <w:numPr>
          <w:ilvl w:val="0"/>
          <w:numId w:val="0"/>
        </w:numPr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  <w:outlineLvl w:val="0"/>
      </w:pPr>
      <w:r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ПРИЛОЖЕНИЕ № 6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26"/>
        <w:numPr>
          <w:ilvl w:val="0"/>
          <w:numId w:val="0"/>
        </w:numPr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26"/>
        <w:numPr>
          <w:ilvl w:val="0"/>
          <w:numId w:val="0"/>
        </w:numPr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УТВЕРЖДЕНА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26"/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приказом министерства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26"/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жилищно-коммунального хозяйства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26"/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 энергетики 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26"/>
        <w:ind w:left="4536"/>
        <w:jc w:val="center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от 09.04.2026 № 89-НПА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p>
      <w:pPr>
        <w:pStyle w:val="726"/>
        <w:ind w:right="-2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ind w:right="-2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ind w:right="-2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ДОКУМЕНТАЦИЯ О ПРОВЕДЕНИИ ПРЕДВАРИТЕЛЬНОГО ОТБОРА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№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2.6-2026-ПО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 предмету предварительного отбора «Оказание услуг и (или) выполнение работ по оценке технического состояния многоквартирного дома, 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разработке проектной документации на проведение капитального ремонта общего имущества многоквартирных домов, многоквартирных домов, являющихся объектами культурного наследия, в случаях, предусмотренных пунктом 5 статьи 56.1 Федерального закона «Об объектах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 культурного наследия (памятниках истории и культуры) народов Российской Федерации», являющихся объектами культурного наследия либо выявленными объектами культурного наследия, в случаях, предусмотренных пунктом 6 статьи 56.1 указанного Федерального закона»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left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left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p>
      <w:pPr>
        <w:pStyle w:val="726"/>
        <w:jc w:val="left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г. Новосибирск, 2026 г.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r>
    </w:p>
    <w:p>
      <w:pPr>
        <w:pStyle w:val="726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Общие положения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r>
    </w:p>
    <w:p>
      <w:pPr>
        <w:pStyle w:val="726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1.</w:t>
      </w:r>
      <w:r>
        <w:rPr>
          <w:rFonts w:ascii="Times New Roman" w:hAnsi="Times New Roman" w:eastAsia="Calibri" w:cs="Times New Roman"/>
          <w:b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 xml:space="preserve">Орган по ведению реестра квалифицированных подрядных организаций (далее – Орган по ведению РКПО) – министерство жилищно-коммунального хозяйства и энергетики Новосибирской области.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2.</w:t>
        <w:tab/>
      </w:r>
      <w:r>
        <w:rPr>
          <w:rFonts w:ascii="Times New Roman" w:hAnsi="Times New Roman" w:eastAsia="Calibri" w:cs="Times New Roman"/>
          <w:sz w:val="24"/>
          <w:szCs w:val="24"/>
        </w:rPr>
      </w:r>
    </w:p>
    <w:tbl>
      <w:tblPr>
        <w:tblW w:w="991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97"/>
        <w:gridCol w:w="4117"/>
        <w:gridCol w:w="5097"/>
      </w:tblGrid>
      <w:tr>
        <w:tblPrEx/>
        <w:trPr>
          <w:trHeight w:val="852"/>
        </w:trPr>
        <w:tc>
          <w:tcPr>
            <w:shd w:val="clear" w:color="auto" w:fill="ffffff"/>
            <w:tcW w:w="697" w:type="dxa"/>
            <w:vAlign w:val="center"/>
            <w:textDirection w:val="lrTb"/>
            <w:noWrap w:val="false"/>
          </w:tcPr>
          <w:p>
            <w:pPr>
              <w:pStyle w:val="726"/>
              <w:jc w:val="center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W w:w="9214" w:type="dxa"/>
            <w:vAlign w:val="center"/>
            <w:textDirection w:val="lrTb"/>
            <w:noWrap w:val="false"/>
          </w:tcPr>
          <w:p>
            <w:pPr>
              <w:pStyle w:val="726"/>
              <w:jc w:val="center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Информация о проведении предварительного отбора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62"/>
        </w:trPr>
        <w:tc>
          <w:tcPr>
            <w:gridSpan w:val="3"/>
            <w:shd w:val="clear" w:color="auto" w:fill="ffffff"/>
            <w:tcW w:w="9911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1. Сведения об органе по ведению реестра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</w:rPr>
            </w:r>
          </w:p>
        </w:tc>
      </w:tr>
      <w:tr>
        <w:tblPrEx/>
        <w:trPr>
          <w:trHeight w:val="852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Наименование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Министерство жилищно-коммунального хозяйства и энергетики Новосибирской области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3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Место нахождения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630091, г. Новосибирск, ул. Фрунзе, 5, оф. 639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3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Почтовый адрес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630091, г. Новосибирск, ул. Фрунзе, 5, оф. 639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62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5406793110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3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 w:bidi="ar-SA"/>
              </w:rPr>
              <w:t xml:space="preserve">mingkh@nso.ru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r>
          </w:p>
        </w:tc>
      </w:tr>
      <w:tr>
        <w:tblPrEx/>
        <w:trPr>
          <w:trHeight w:val="562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Номер телефона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8 (383) 238-76-46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3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Ф.И.О. контактного лица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Манске Инга Геннадьевна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1451"/>
        </w:trPr>
        <w:tc>
          <w:tcPr>
            <w:tcW w:w="6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Предмет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Оказание услуг и (или) выполнение работ по оценке технического состояния многоквартирного дома,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 разработке проектной документации на проведение капитального ремонта общего имущества многоквартирных домов, многоквартирных домов, являющихся объектами культурного наследия, в случаях, предусмотренных пунктом 5 статьи 56.1 Федерального закона "Об объекта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х культурного наследия (памятниках истории и культуры) народов Российской Федерации", являющихся объектами культурного наследия либо выявленными объектами культурного наследия, в случаях, предусмотренных пунктом 6 статьи 56.1 указанного Федерального закона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43"/>
        </w:trPr>
        <w:tc>
          <w:tcPr>
            <w:tcW w:w="6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Номер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 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2.6-2026-ПО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1160"/>
        </w:trPr>
        <w:tc>
          <w:tcPr>
            <w:tcW w:w="6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Официальный сайт, на котором размещена документация о проведении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http://www.mjkh.nso.ru/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852"/>
        </w:trPr>
        <w:tc>
          <w:tcPr>
            <w:tcW w:w="6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Адрес сайта оператора электронной площадки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http://www.rts-tender.ru/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52"/>
        </w:trPr>
        <w:tc>
          <w:tcPr>
            <w:tcW w:w="6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Период действия результатов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3 года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42"/>
        </w:trPr>
        <w:tc>
          <w:tcPr>
            <w:tcW w:w="6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7.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Дата и время начала срока подачи заявок на участие в предварительном отборе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10 апреля 2026 года,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09 часов 00 минут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42"/>
        </w:trPr>
        <w:tc>
          <w:tcPr>
            <w:tcW w:w="6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8.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Дата и время окончания срока подачи заявок на участие в предварительном отборе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30 апреля 2026 года,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09 часов 00 минут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70"/>
        </w:trPr>
        <w:tc>
          <w:tcPr>
            <w:tcW w:w="697" w:type="dxa"/>
            <w:textDirection w:val="lrTb"/>
            <w:noWrap w:val="false"/>
          </w:tcPr>
          <w:p>
            <w:pPr>
              <w:pStyle w:val="72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9.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726"/>
              <w:jc w:val="left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Дата окончания рассмотрения заявок на участие в предварительном отборе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726"/>
              <w:jc w:val="left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14 мая 2026 года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</w:tbl>
    <w:p>
      <w:pPr>
        <w:pStyle w:val="726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  <w:lang w:val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</w:r>
    </w:p>
    <w:p>
      <w:pPr>
        <w:pStyle w:val="726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Требования к оказанию услуг и (или) выполнению работ по капитальному ремонту общего имущества в многоквартирном доме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tbl>
      <w:tblPr>
        <w:tblW w:w="10065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307"/>
        <w:gridCol w:w="6757"/>
      </w:tblGrid>
      <w:tr>
        <w:tblPrEx/>
        <w:trPr>
          <w:trHeight w:val="64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textDirection w:val="lrTb"/>
            <w:noWrap w:val="false"/>
          </w:tcPr>
          <w:p>
            <w:pPr>
              <w:pStyle w:val="726"/>
              <w:jc w:val="center"/>
              <w:keepNext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Требования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7" w:type="dxa"/>
            <w:textDirection w:val="lrTb"/>
            <w:noWrap w:val="false"/>
          </w:tcPr>
          <w:p>
            <w:pPr>
              <w:pStyle w:val="726"/>
              <w:jc w:val="center"/>
              <w:keepNext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9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textDirection w:val="lrTb"/>
            <w:noWrap w:val="false"/>
          </w:tcPr>
          <w:p>
            <w:pPr>
              <w:pStyle w:val="726"/>
              <w:jc w:val="center"/>
              <w:keepNext/>
              <w:spacing w:before="0" w:after="1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7" w:type="dxa"/>
            <w:textDirection w:val="lrTb"/>
            <w:noWrap w:val="false"/>
          </w:tcPr>
          <w:p>
            <w:pPr>
              <w:pStyle w:val="726"/>
              <w:jc w:val="center"/>
              <w:keepNext/>
              <w:spacing w:before="0" w:after="16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9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textDirection w:val="lrTb"/>
            <w:noWrap w:val="false"/>
          </w:tcPr>
          <w:p>
            <w:pPr>
              <w:pStyle w:val="72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Общие требования к выполнению работ (услуг) подрядной организацией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7" w:type="dxa"/>
            <w:textDirection w:val="lrTb"/>
            <w:noWrap w:val="false"/>
          </w:tcPr>
          <w:p>
            <w:pPr>
              <w:pStyle w:val="72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1. Работы осуществляются на основании предоставленной заказчиком электронного аукциона (далее – Заказчик) исходно-разрешительной документации: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2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 Технический паспорт БТИ (при наличии);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2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 Протокол общего собрания (или решения органа местного самоуправления);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2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 Техническое задание органа, ответственного за сохранность объекта культурного наследия (при необходимости).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2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2. Работы осуществляются на основании предоставленной органом местного самоуправления исходно-разрешительной документации: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2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Информация об управляющей организации.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2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3. Работы осуществляются на основании иной полученной подрядной организацией исходно-разрешительной документации, необходимой для выполнения работ по проектированию: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2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-требование органов местного самоуправления о цвете и материале (при необходимости) кровельного покрытия;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2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-сведения о разграничении зон общего имущества многоквартирного дома;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2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-справка ресурсоснабжающей организации о давлении в системах водоснабжения, температуре теплоносителя и давлении в системе теплоснабжения;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2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-другая недостающая исходно-разрешительная документация, необходимая для выполнения проектных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2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2. Проектно-сметная документация разрабатывается в объёме, необходимом для проведения капитального ремонта общего имущества многоквартирного дома (далее – МКД) в соответствии со следующими нормами действующего законодательства Российской Федерации: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26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- Градостроительный кодекс Российской Федерации;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  <w:p>
            <w:pPr>
              <w:pStyle w:val="726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- Земельный кодекс Российской Федерации;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  <w:p>
            <w:pPr>
              <w:pStyle w:val="726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- Жилищный кодекс Российской Федерации;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  <w:p>
            <w:pPr>
              <w:pStyle w:val="726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- </w:t>
            </w:r>
            <w:hyperlink r:id="rId17" w:tooltip="http://docs.cntd.ru/document/902192610" w:history="1">
              <w:r>
                <w:rPr>
                  <w:rFonts w:ascii="Times New Roman" w:hAnsi="Times New Roman" w:eastAsia="Calibri" w:cs="Times New Roman"/>
                  <w:sz w:val="24"/>
                  <w:szCs w:val="24"/>
                  <w:highlight w:val="white"/>
                </w:rPr>
                <w:t xml:space="preserve">Федеральный закон от 30.12.2009г. № 384-Ф3 «Технический регламент о безопасности зданий и сооружений</w:t>
              </w:r>
            </w:hyperlink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»;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  <w:p>
            <w:pPr>
              <w:pStyle w:val="726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- </w:t>
            </w:r>
            <w:hyperlink r:id="rId18" w:tooltip="http://docs.cntd.ru/document/902186281" w:history="1">
              <w:r>
                <w:rPr>
                  <w:rFonts w:ascii="Times New Roman" w:hAnsi="Times New Roman" w:eastAsia="Calibri" w:cs="Times New Roman"/>
                  <w:sz w:val="24"/>
                  <w:szCs w:val="24"/>
                  <w:highlight w:val="white"/>
                </w:rPr>
                <w:t xml:space="preserve">Федеральный закон от 23.11.2009 г. № 261-ФЗ «Об энергосбережении и о повышении энергетической эффективности, и о внесении изменений в отдельные законодательные акты Российской Федерации</w:t>
              </w:r>
            </w:hyperlink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»;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  <w:p>
            <w:pPr>
              <w:pStyle w:val="726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- Федеральный закон РФ от 27.12.2002г. №184-ФЗ «О техническом регулировании»;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  <w:p>
            <w:pPr>
              <w:pStyle w:val="726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- Федеральный закон РФ от 22.07.2008 №123-ФЗ «Технический регламент о требованиях пожарной безопасности»;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  <w:p>
            <w:pPr>
              <w:pStyle w:val="726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- Федеральный закон РФ от 25.06.2002г. №73-ФЗ «Об объектах культурного наследия (памятниках истории и культуры) народов РФ» (в том числе в части требований к качеству работ и безопасности их проведения);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  <w:p>
            <w:pPr>
              <w:pStyle w:val="726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- Постановление Правительства РФ № 87 от 16.02.2008 г. «О составе разделов проектной документации и требованиях к их содержанию»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333333"/>
                <w:sz w:val="22"/>
                <w:szCs w:val="22"/>
                <w:highlight w:val="white"/>
              </w:rPr>
              <w:t xml:space="preserve">(с изменениями на 21 октября 2025 года)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;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 ВСН 41-85 (р) Инструкция по разработке проектов организации и проектов производства работ по капитальному ремонту жилых зданий;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СП 17.13330.2017 Кровли;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СП 70.13330.2012 Несущие и ограждающие конструкции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</w:rPr>
              <w:t xml:space="preserve">(редакция от 11.12.2023);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СП 20.13330.2016 Нагрузки и воздействия;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СП 54.13330.2022 Здания жилые многоквартирные;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СП 71.13330.2017 Изоляционные и отделочные покрытия;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СП 15.13330.2020 Каменные и армокаменные конструкции;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СП 16.13330.2017 Стальные конструкции;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СП 64.13330.2017 Деревянные конструкции;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СП 63.13330.2018 Бетонные и железобетонные конструкции.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СП 29.13330.2011 Полы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СП 82-101-98 Приготовление и применение растворов строительных;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ГОСТ 33083-2014 Смеси сухие строительные на цементном вяжущем для штукатурных работ;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СП 256.1325800.2016 «Электроустановки жилых и общественных зданий. Правила проектирования и монтажа»;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31565-2012 «Кабельные изделия. Требования пожарной безопасности»;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СО 153-34.21.122-2003 Инструкция по устройству молниезащиты зданий, сооружений и промышленных коммуникаций;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Р 50571.5.52-2011 Электроустановки низковольтные. Часть 5-52. Выбор и монтаж электрооборудования. Электропроводки;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32395-2020 Щитки распределительные для жилых зданий. Общие технические условия.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32396-2021 Устройства вводно-распределительные для жилых и общественных зданий. Общие технические условия;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Р 50571.16-2019 Электроустановки низковольтные. Часть 6. Испытания;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34819-2021 Приборы осветительные. Светотехнические требования и методы испытаний;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IEC 60598-2-22-2012 Светильники. Часть 2-22. Частные требования. Светильники для аварийного освещения;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IEC 60898-2-2021 Выключатели автоматические для защиты от сверхтоков электроустановок бытового и аналогичного назначения. Часть 2. Выключатели автоматические для переменного и постоянного тока;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21.608-2021 «Система проектной документации для строительства. Правила выполнения рабочей документации внутреннего электрического освещения»;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СП 60.13330.2020 «Отопление, вентиляция и кондиционирование воздуха»;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СП 61.13330.2012 «Тепловая изоляция оборудования и трубопроводов»;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СП 124.13330.2012 «Тепловые сети»;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СП 73.13330.2016 «Внутренние санитарно-технические системы зданий»;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СП 30.13330.2020 «Внутренний водопровод и канализация зданий».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ind w:left="0"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30494-2011 «Здания жилые и общественные. Параметры микроклимата в помещениях»;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34059-2017 Инженерные сети зданий и сооружений внутренние. Устройство систем отопления, горячего и холодного водоснабжения. Общие технические требования»;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21.602-2016 Система проектной документации для строительства (СПДС). Правила выполнения рабочей документации систем отопления, вентиляции и кондиционирования;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ПУЭ 7 Правила устройства электроустановок. Издание 6,7;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ГОСТ Р 21.101-2026 Система проектной документации для строительства. Основные требования к проектной и рабочей документации и другие взаимосвязанные стандарты Системы проектной документации для строительства.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89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- ГОСТ Р 55528-2013 «Состав и содержание научно-проектной документации по сохранению объектов культурного наследия» и иные нормативные документы.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2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3. Принятые в проектно-сметной документации решения должны соответствовать требованиям экологических, санитарно-гигиенических, противопожарных и других норм, действующих на территории Российской Федерации.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9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textDirection w:val="lrTb"/>
            <w:noWrap w:val="false"/>
          </w:tcPr>
          <w:p>
            <w:pPr>
              <w:pStyle w:val="72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Общие требования к составу и содержанию проектно-сметной документации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7" w:type="dxa"/>
            <w:textDirection w:val="lrTb"/>
            <w:noWrap w:val="false"/>
          </w:tcPr>
          <w:p>
            <w:pPr>
              <w:pStyle w:val="72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Разделы и подразделы проектно-сметной документации выполняются в соответствии с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постановлением Правительства Российской Федерации от 16.02.2008г. № 87 «О составе разделов проектной документации и требованиях к их содержанию» в объеме, необходимом для выполнения работ по капитальному ремонту общего имущества МКД.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9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textDirection w:val="lrTb"/>
            <w:noWrap w:val="false"/>
          </w:tcPr>
          <w:p>
            <w:pPr>
              <w:pStyle w:val="72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Требования к согласованию с ведомствами и организациями, экспертиза проектно-сметной документации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7" w:type="dxa"/>
            <w:textDirection w:val="lrTb"/>
            <w:noWrap w:val="false"/>
          </w:tcPr>
          <w:p>
            <w:pPr>
              <w:pStyle w:val="72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Подрядной организацией должны быть получены все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необходимые согласования и заключения экспертизы проектно-сметной документации.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9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textDirection w:val="lrTb"/>
            <w:noWrap w:val="false"/>
          </w:tcPr>
          <w:p>
            <w:pPr>
              <w:pStyle w:val="72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Требование к календарному плану работ (услуг)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7" w:type="dxa"/>
            <w:textDirection w:val="lrTb"/>
            <w:noWrap w:val="false"/>
          </w:tcPr>
          <w:p>
            <w:pPr>
              <w:pStyle w:val="72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Работы должны проводиться в соответствии с прилагаемым к договору календарным планом. Выполнение работ по календарному плану должно быть поэтапное, и предусматривать ежемесячную сдачу проектно-сметной документации равными частями.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726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numPr>
          <w:ilvl w:val="0"/>
          <w:numId w:val="0"/>
        </w:numPr>
        <w:contextualSpacing/>
        <w:ind w:left="4185"/>
        <w:jc w:val="center"/>
        <w:spacing w:before="120" w:after="0" w:line="240" w:lineRule="auto"/>
        <w:rPr>
          <w:rFonts w:ascii="Times New Roman" w:hAnsi="Times New Roman" w:eastAsia="Calibri" w:cs="Times New Roman"/>
          <w:vanish/>
          <w:sz w:val="24"/>
          <w:szCs w:val="24"/>
        </w:rPr>
        <w:outlineLvl w:val="1"/>
      </w:pPr>
      <w:r>
        <w:rPr>
          <w:rFonts w:ascii="Times New Roman" w:hAnsi="Times New Roman" w:eastAsia="Calibri" w:cs="Times New Roman"/>
          <w:vanish/>
          <w:sz w:val="24"/>
          <w:szCs w:val="24"/>
        </w:rPr>
      </w:r>
      <w:r>
        <w:rPr>
          <w:rFonts w:ascii="Times New Roman" w:hAnsi="Times New Roman" w:eastAsia="Calibri" w:cs="Times New Roman"/>
          <w:vanish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Сведения о существенных условиях договора строительного подряда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tbl>
      <w:tblPr>
        <w:tblW w:w="10065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80"/>
        <w:gridCol w:w="2409"/>
        <w:gridCol w:w="6976"/>
      </w:tblGrid>
      <w:tr>
        <w:tblPrEx/>
        <w:trPr>
          <w:tblHeader/>
        </w:trPr>
        <w:tc>
          <w:tcPr>
            <w:shd w:val="clear" w:color="auto" w:fill="f2f2f2"/>
            <w:tcW w:w="680" w:type="dxa"/>
            <w:vAlign w:val="center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2f2f2"/>
            <w:tcW w:w="2409" w:type="dxa"/>
            <w:vAlign w:val="center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Условие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2f2f2"/>
            <w:tcW w:w="6976" w:type="dxa"/>
            <w:vAlign w:val="center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Описание условия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shd w:val="clear" w:color="auto" w:fill="f2f2f2"/>
            <w:tcW w:w="680" w:type="dxa"/>
            <w:vAlign w:val="center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2f2f2"/>
            <w:tcW w:w="2409" w:type="dxa"/>
            <w:vAlign w:val="center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2f2f2"/>
            <w:tcW w:w="6976" w:type="dxa"/>
            <w:vAlign w:val="center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Заказчик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Фонд модернизации и развития жилищно-коммунального хозяйства муниципальных образований Новосибирской области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Предмет договора строительного подряда (далее – договор)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Предметом договора является выполнение работ по по оценке технического состояния многоквартирного дома,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разработке проектной документации на проведение капитального ремонта общего имущества многоквартирных домов, многоквартирных домов, являющихся объектами культурного наследия, в случаях, предусмотренных пунктом 5 статьи 56.1 Федерального закона «Об объектах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 культурного наследия (памятниках истории и культуры) народов Российской Федерации», являющихся объектами культурного наследия либо выявленными объектами культурного наследия, в случаях, предусмотренных пунктом 6 статьи 56.1 указанного Федерального закона.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Выполнение работ включает в себя следующий состав работ (услуг):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 Выполнить предварительное обследование объекта с составлением акта обследования;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 Разработать проектную документацию с предоставлением архитектурных решений и основных чертежей: планы, сечения, разрезы со схематическим изображением основных несущих и ограждающих конструкций, способов крепления, узлов, сертификации материалов;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В объем разрабатываемого проекта должны включаться: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 Обмерочные чертежи.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 Отчёт о техническим обследовании, включающий в себя: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характеристика объекта;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выявленные дефекты, скрытые дефекты;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фотографии объекта, дефектов конструкций и последствий;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выводы по результатам обследования.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3. Пояснительная записка, включающая в себя: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описание и обоснование принятых технических решений;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производство работ по проведению капитального ремонта существующих систем отопления и горячего водоснабжения;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требования к качеству и приёмке работ;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антикоррозийные мероприятия;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мероприятия по противопожарной безопасности при производстве работ;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техника безопасности строительных работ и охрана труда;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мероприятия по охране окружающей природной среды;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</w:t>
            </w:r>
            <w:r>
              <w:rPr>
                <w:rFonts w:eastAsia="Calibri" w:cs="Arial"/>
                <w:sz w:val="22"/>
                <w:szCs w:val="22"/>
                <w:lang w:val="ru-RU" w:eastAsia="en-US" w:bidi="ar-SA"/>
              </w:rPr>
              <w:t xml:space="preserve"> о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бщие организационные работы.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4. Отопление, вентиляция и кондиционирование: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планы;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характерные разрезы и сечения;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- ведомость оборудования и материалов;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5. Сметная документация на капитальный ремонт отдельных элементов МКД.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Работы (услуги) будут выполняться (оказываться) подрядной организацией в отношении объектов, указанных в ориентировочном адресном перечне, размещенном на сайте в информационно-коммуникационной сети «Интернет» </w:t>
            </w:r>
            <w:hyperlink r:id="rId19" w:tooltip="http://www.mjkh.nso.ru/page/724." w:history="1">
              <w:r>
                <w:rPr>
                  <w:rStyle w:val="759"/>
                  <w:rFonts w:ascii="Times New Roman" w:hAnsi="Times New Roman" w:eastAsia="Calibri" w:cs="Times New Roman"/>
                  <w:sz w:val="24"/>
                  <w:szCs w:val="24"/>
                  <w:lang w:val="ru-RU" w:eastAsia="en-US" w:bidi="ar-SA"/>
                </w:rPr>
                <w:t xml:space="preserve">http://www.mjkh.nso.ru/page/724.</w:t>
              </w:r>
            </w:hyperlink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/>
                <w:spacing w:val="-6"/>
                <w:sz w:val="24"/>
                <w:szCs w:val="24"/>
                <w:highlight w:val="white"/>
                <w:lang w:val="ru-RU" w:eastAsia="en-US" w:bidi="ar-SA"/>
              </w:rPr>
              <w:t xml:space="preserve">Указанные ориентировочные перечни могут быть скорректированы в соответствии с требованиями действующего жилищного законодательства.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Цена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26"/>
              <w:contextualSpacing/>
              <w:jc w:val="left"/>
              <w:spacing w:before="0" w:after="160" w:line="259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 Цена договора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contextualSpacing/>
              <w:jc w:val="left"/>
              <w:spacing w:before="0" w:after="160" w:line="259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 Цена договора может быть снижена по соглашению сторон при уменьшении предусмотренных договором объемов услуг и (или) работ.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contextualSpacing/>
              <w:jc w:val="left"/>
              <w:spacing w:before="0" w:after="0" w:line="240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3. Изменение стоимости и объемов услуг и (или) работ производится при соблюдении Заказчиком положений, установленных частью 5 статьи 189 Жилищного кодекса Российской Федерации. Иные положения договора изменению не подлежат.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и сроки оплаты работ (услуг)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Устанавливаются Заказчиком в документации об электронном аукционе.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и сроки выполнения работ (оказания 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Устанавливаются Заказчиком в документации об электронном аукционе.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и сроки приемки выполненных работ (оказанных 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26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 Порядок и сроки приемки выполненных работ (оказанных услуг) устанавливаются Заказчиком в документации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 Для проверки соответствия качества и объемов выполненных работ (оказанных услуг), установленных договором, Заказчик вправе привлекать независимых экспертов.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Место выполнения работ (оказания 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26"/>
              <w:jc w:val="left"/>
              <w:spacing w:before="0" w:after="0" w:line="240" w:lineRule="auto"/>
              <w:widowControl w:val="off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Место выполнения работ (оказания услуг) устанавливается Заказчиком в документации о проведении электронного аукциона в пределах Новосибирской области.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8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Обеспечение исполнения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2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 Исполнение обязательств по договору обеспечивается: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независимой гарантией, выданной в соответствии с требованиями, предусмотренными </w:t>
            </w:r>
            <w:hyperlink r:id="rId20" w:tooltip="consultantplus://offline/ref=1A5ACDC7DDF8F0887A5F947293FE2CE5F6F787A58646A3FC26F6FA80EC4498F2B4F4B29DE25C6665B142ABBE2349634291F5A8A8AAE2S3H" w:history="1">
              <w:r>
                <w:rPr>
                  <w:rFonts w:ascii="Times New Roman" w:hAnsi="Times New Roman" w:eastAsia="Calibri" w:cs="Times New Roman"/>
                  <w:sz w:val="24"/>
                  <w:szCs w:val="24"/>
                  <w:lang w:val="ru-RU" w:eastAsia="en-US" w:bidi="ar-SA"/>
                </w:rPr>
                <w:t xml:space="preserve">частью 1 статьи 45</w:t>
              </w:r>
            </w:hyperlink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нужд» (далее - независимая гарантия);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обеспечительным платежом.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 Способ обеспечения исполнения обязательств по договору определяется участником электронного аукциона, с которым заключается такой договор, самостоятельно из указанных в пункте 1 способов.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3. Размер обеспечения исполнения договора указывается в извещении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4. Размер обеспечения исполнения договора не может превышать 30 (тридцать) процентов начальной (максимальной) цены договора, указанной в извещении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5. Обеспечение исполнения договора может быть установлено в размере, превышающем в 2 раза размер обеспечения его исполнения, 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казанный в документации о проведении электронного аукциона, в случае, если при проведении электронного аукциона участником закупки, с которым заключается договор, предложена цена, которая на 20 и более процентов ниже начальной (максимальной) цены договора.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6. Независимая гарантия оформляется в письменной форме на бумажном носителе или в форме электронного документа, подписанного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усиленной квалифицированной электронной подписью лица, имеющего право действовать от имени организации, выдавшей независимую гарантию (далее - гарант), на условиях, определенных гражданским законодательством, и должна соответствовать следующим требованиям: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быть безотзывной;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требован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ие к независимой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и (или) в случае расторжения договора;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д) срок действия независимой гарантии должен превышать срок оказания услуг и (или) выполнения работ по договору не менее чем на 60 дней.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7. Заказчик вправе не устанавливать требование обеспечения исполнения договора при условии банковского сопровождения договора.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 документации о проведении электронного аукциона Заказчиком могут быть установлены дополнительные требования к обеспечению исполнения договора.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Гарантийный срок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26"/>
              <w:jc w:val="left"/>
              <w:spacing w:before="0" w:after="0" w:line="240" w:lineRule="auto"/>
              <w:widowControl w:val="off"/>
              <w:tabs>
                <w:tab w:val="left" w:pos="4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 Условия о гарантийном сроке определяются Заказчиком в документации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 w:val="off"/>
              <w:tabs>
                <w:tab w:val="left" w:pos="608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 Срок предоставления гарантий на оказанные услуги и (или) выполненные работы не может быть менее 5 лет со дня подписания соответствующего акта о приемке оказанных услуг и (или) выполненных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37"/>
        </w:trPr>
        <w:tc>
          <w:tcPr>
            <w:tcW w:w="680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Ответственность Заказчика и подрядной организации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26"/>
              <w:ind w:left="34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Условия договора, предусматривающие ответственность подрядной организации и Заказчика за неисполнение или ненадлежащее исполнение обязательств по договору, определяются Заказчиком в документации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заключения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26"/>
              <w:jc w:val="left"/>
              <w:spacing w:before="0" w:after="0" w:line="259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Договор заключается Заказчиком в соответствии с Гражданским кодексом Российской Федерации и Положением.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ind w:left="34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Порядок заключения договора определяется Заказчиком в документации об электронном аукционе.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680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Другие существенные условия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976" w:type="dxa"/>
            <w:textDirection w:val="lrTb"/>
            <w:noWrap w:val="false"/>
          </w:tcPr>
          <w:p>
            <w:pPr>
              <w:pStyle w:val="72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 Предмет договора, место оказания услуг и (или) проведения работ, виды услуг и (или)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 не могут изменяться в ходе его исполнения. Сроки оказания услуг и (или) выполнения работ по договору по соглашению сторон могут быть продлены на период действия одного из следующих обстоятельств при наличии документов, подтверждающих такие обстоятельства: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изменение объема оказываемых услуг и (или) выполняемых работ по до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говору по соглашению сторон при согласовании таких изменений собственниками помещений в МКД, уполномоченным представителем собственников таких помещений или органами местного самоуправления в случаях, предусмотренных законодательством Российской Федерации;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недопуск собственниками помещений в МКД подрядной организации к оказанию услуг и (или) выполнению работ по капитальному ремонту по причинам, не связанным с неисполнением или ненадлежащим исполнением такой организацией договора;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в) приостановка оказания услуг и (или) выполнения работ по капитальному ремонту в связи с наступлением отопительного сезона и (или) неблагоприятных погодных условий.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 При исполнении дог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овора не допускается перемена подрядной организации, за исключением случаев, если новая подрядная организация является правопреемником по договору вследствие реорганизации юридического лица в порядке, предусмотренном законодательством Российской Федерации.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3. Расторжение договора допускается: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по соглашению сторон;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по инициативе Заказчика, в том числе в виде одностороннего расторжения договора, или подрядной организации (основания такого расторжения устанавливаются в договоре);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в) по решению суда по основаниям, предусмотренным законодательством Российской Федерации.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4. Заказчик вправе расторгнуть договор в одностороннем порядке в следующих случаях: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систематическое (2 раза и более) нарушение подрядной организацией сроков оказания услуг и (или) выполнения работ;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задержка подрядной организацией начала выполнения работ более чем на 10 (десять) календарных дней по причинам, не зависящим от Заказчика или собственников помещений в МКД;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в) неоднократное (2 раза и более в течение одного календарного месяца) несоблюдение (отступление от 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ребований, предусмотренных договором, проектной документацией, стандартами, нормами и правилами, а также иными действующими нормативными правовыми актами) подрядной организацией требований к качеству услуг и (или) работ и (или) технологии проведения работ;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г) неоднократное (2 раза и более в течение одного календарного месяца) использование некачественных материалов, изделий и конструкций, выявленных Заказчиком в соответствии с условиями договора;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д) прекращение членства подрядной организации в саморегулируемой организации, издание актов государственных органов в рамках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 законодательства Российской Федерации, лишающих права подрядной организации на производство работ; е) нарушение подрядной организацией сроков оказания услуг и (или) выполнения работ продолжительностью более 30 (тридцати) календарных дней по любому из МКД;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ж) нарушение срока замены независимой гарантии, установленного договором, при отзыве лицензии, банкротстве или ликвидации гаранта более чем на 2 (два) рабочих дня;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59" w:lineRule="auto"/>
              <w:widowControl w:val="off"/>
              <w:tabs>
                <w:tab w:val="left" w:pos="17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з) выявление Заказчиком после заключения 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оговора строительного подряда факта недействительности представленной подрядной организацией независимой гарантии (представление поддельных документов, получение от гаранта опровержения выдачи независимой гарантии подрядной организации в письменной форме);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и) неисполнение обязательства о продлении срока независимой гарантии при измен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ении сроков оказания услуг и (или) выполнения работ в связи с изменением по соглашению сторон сроков оказания услуг и (или) выполнения работ либо при нарушении подрядной организацией предусмотренных договором сроков оказания услуг и (или) выполнения работ.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pStyle w:val="726"/>
        <w:ind w:left="1080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IV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 Требования к участникам предварительного отбора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 проведении предварительного отбора по предмету последующего электронного аукциона - </w:t>
      </w:r>
      <w:r>
        <w:rPr>
          <w:rFonts w:ascii="Times New Roman" w:hAnsi="Times New Roman" w:eastAsia="Calibri" w:cs="Times New Roman"/>
          <w:b w:val="0"/>
          <w:bCs w:val="0"/>
          <w:sz w:val="24"/>
          <w:szCs w:val="24"/>
        </w:rPr>
        <w:t xml:space="preserve">«Оказание услуг и (или) выполнение работ по оценке технического состояния многоквартирного дома, </w:t>
      </w:r>
      <w:r>
        <w:rPr>
          <w:rFonts w:ascii="Times New Roman" w:hAnsi="Times New Roman" w:eastAsia="Calibri" w:cs="Times New Roman"/>
          <w:b w:val="0"/>
          <w:bCs w:val="0"/>
          <w:sz w:val="24"/>
          <w:szCs w:val="24"/>
        </w:rPr>
        <w:t xml:space="preserve">разработке проектной документации на проведение капитального ремонта общего имущества многоквартирных домов, многоквартирных домов, являющихся объектами культурного наследия, в случаях, предусмотренных пунктом 5 статьи 56.1 Федерального закона «Об объектах</w:t>
      </w:r>
      <w:r>
        <w:rPr>
          <w:rFonts w:ascii="Times New Roman" w:hAnsi="Times New Roman" w:eastAsia="Calibri" w:cs="Times New Roman"/>
          <w:b w:val="0"/>
          <w:bCs w:val="0"/>
          <w:sz w:val="24"/>
          <w:szCs w:val="24"/>
        </w:rPr>
        <w:t xml:space="preserve"> культурного наследия (памятниках истории и культуры) народов Российской Федерации», являющихся объектами культурного наследия либо выявленными объектами культурного наследия, в случаях, предусмотренных пунктом 6 статьи 56.1 указанного Федерального закона»</w:t>
      </w:r>
      <w:r>
        <w:rPr>
          <w:rFonts w:ascii="Times New Roman" w:hAnsi="Times New Roman" w:eastAsia="Calibri" w:cs="Times New Roman"/>
          <w:sz w:val="24"/>
          <w:szCs w:val="24"/>
        </w:rPr>
        <w:t xml:space="preserve"> устанавливаются следующие требования к его участникам (далее – Участник):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 членство в саморегулируемых ор</w:t>
      </w:r>
      <w:r>
        <w:rPr>
          <w:rFonts w:ascii="Times New Roman" w:hAnsi="Times New Roman" w:eastAsia="Calibri" w:cs="Times New Roman"/>
          <w:sz w:val="24"/>
          <w:szCs w:val="24"/>
        </w:rPr>
        <w:t xml:space="preserve">ганизациях в области архитектурно-строительного проектирования. При этом указанное требование не применяется к участникам предварительного отбора, являющимся лицами, указанными в пункте 1 части 2.2 статьи 52 Градостроительного кодекса Российской Федерации;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 отсутствие у Участника задолженности по уплате нал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огов, сборов и иных обязательных платежей в бюджеты бюджетной системы Российской Федерации за прошедший календарный год, за исключением случаев обжалования им задолженностей по обязательным платежам в бюджеты бюджетной системы Российской Федерации в соотве</w:t>
      </w:r>
      <w:r>
        <w:rPr>
          <w:rFonts w:ascii="Times New Roman" w:hAnsi="Times New Roman" w:eastAsia="Calibri" w:cs="Times New Roman"/>
          <w:sz w:val="24"/>
          <w:szCs w:val="24"/>
        </w:rPr>
        <w:t xml:space="preserve">тствии с законодательством Российской Федерации,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 отсутствие у Участника за 3 года, предшествующие дате окончани</w:t>
      </w:r>
      <w:r>
        <w:rPr>
          <w:rFonts w:ascii="Times New Roman" w:hAnsi="Times New Roman" w:eastAsia="Calibri" w:cs="Times New Roman"/>
          <w:sz w:val="24"/>
          <w:szCs w:val="24"/>
        </w:rPr>
        <w:t xml:space="preserve">я срока подачи заявок на участие в предварительном отборе, контракта или договора, в том числе заключенного в соответствии с Положением, по строительству, реконструкции и (или) капитальному ремонту объектов капитального строительства, относящихся к той же </w:t>
      </w:r>
      <w:r>
        <w:rPr>
          <w:rFonts w:ascii="Times New Roman" w:hAnsi="Times New Roman" w:eastAsia="Calibri" w:cs="Times New Roman"/>
          <w:sz w:val="24"/>
          <w:szCs w:val="24"/>
        </w:rPr>
        <w:t xml:space="preserve">группе услуг и (или) работ, что и предмет предварительного отбора,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условий такого контракта или договора;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г) 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д) неприостановление деятельности Участника в порядке, предусмотренном Кодексом Российской Федерации об административных правонарушениях, на дату проведения предварительного отбора;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е) отсутствие конфликта интересов, то есть случаев, при которых руководитель Заказчика, член комиссии по проведению предварительного отбора, комиссии по осуществлению закупок, должн</w:t>
      </w:r>
      <w:r>
        <w:rPr>
          <w:rFonts w:ascii="Times New Roman" w:hAnsi="Times New Roman" w:eastAsia="Calibri" w:cs="Times New Roman"/>
          <w:sz w:val="24"/>
          <w:szCs w:val="24"/>
        </w:rPr>
        <w:t xml:space="preserve">остное лицо Заказчика, осуществляющее организационное сопровождение привлечения подрядных организаций, состоят в браке с физическими лицами, являющимися выгодоприобретателями, единоличным исполнительным органом хозяйственного общества, членами коллегиально</w:t>
      </w:r>
      <w:r>
        <w:rPr>
          <w:rFonts w:ascii="Times New Roman" w:hAnsi="Times New Roman" w:eastAsia="Calibri" w:cs="Times New Roman"/>
          <w:sz w:val="24"/>
          <w:szCs w:val="24"/>
        </w:rPr>
        <w:t xml:space="preserve">го исполнительного органа хозяйственного общества, руководителем учреждения или унитарного предприятия либо иных органов управления юридического лица - Участника либо являются близкими родственниками (родственниками по прямой восходящей и нисходящей линии </w:t>
      </w:r>
      <w:r>
        <w:rPr>
          <w:rFonts w:ascii="Times New Roman" w:hAnsi="Times New Roman" w:eastAsia="Calibri" w:cs="Times New Roman"/>
          <w:sz w:val="24"/>
          <w:szCs w:val="24"/>
        </w:rPr>
        <w:t xml:space="preserve">(родителями и детьми, дедушкой, бабушкой и внуками), полнородными и неполнородными (имеющими общих отца или мать) братьями или сестрами), усыновителями указанных физических лиц или усыновленными ими. Под выгодоприобретателями понимаются физические лица, вл</w:t>
      </w:r>
      <w:r>
        <w:rPr>
          <w:rFonts w:ascii="Times New Roman" w:hAnsi="Times New Roman" w:eastAsia="Calibri" w:cs="Times New Roman"/>
          <w:sz w:val="24"/>
          <w:szCs w:val="24"/>
        </w:rPr>
        <w:t xml:space="preserve">адеющие напрямую или косвенно (через юридическое лицо или через несколько юридических лиц) более чем 10 (десятью) процентами голосующих акций хозяйственного общества либо долей, превышающей 10 (десять) процентов в уставном капитале хозяйственного общества;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ж) неприменение в отношении Участника – физического лица либо руководителя, членов коллеги</w:t>
      </w:r>
      <w:r>
        <w:rPr>
          <w:rFonts w:ascii="Times New Roman" w:hAnsi="Times New Roman" w:eastAsia="Calibri" w:cs="Times New Roman"/>
          <w:sz w:val="24"/>
          <w:szCs w:val="24"/>
        </w:rPr>
        <w:t xml:space="preserve">ального исполнительного органа или главного бухгалтера Участника –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з) отсутствие сведений об Участнике в реестре недобросовестных поставщиков (подрядчиков, исполнителей), ве</w:t>
      </w:r>
      <w:r>
        <w:rPr>
          <w:rFonts w:ascii="Times New Roman" w:hAnsi="Times New Roman" w:eastAsia="Calibri" w:cs="Times New Roman"/>
          <w:sz w:val="24"/>
          <w:szCs w:val="24"/>
        </w:rPr>
        <w:t xml:space="preserve">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и) отсутствие сведений об Участнике в реестре недобросовестных подрядных организаций, ведение которого осуществляется федеральным органом исполнительной власти в порядке, установленном разделом VII Положения;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к) невозможность для Участника являться юридическим лицом, местом регистрации которого является государство или территория, включенные в утверждаемый в соответствии с подпунктом 1 пункта 3 статьи 284 Налог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в отношении юридических лиц;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л) наличие в штате у Участника работников, соответствующих установленным пунктом 1 части 6 статьи 55.5 Градостроительного кодекса Российской Федерации квалификационным требованиям, в количестве, установленном в приложении № 4 к Документации</w:t>
      </w:r>
      <w: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о проведении предварительного отбора, но не ниже количества, установленного пунктом 2 части 6 статьи 55.5 Градостроительного кодекса Российской Федерации;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м) наличие у Участника за 3 года, предшествующие </w:t>
      </w:r>
      <w:r>
        <w:rPr>
          <w:rFonts w:ascii="Times New Roman" w:hAnsi="Times New Roman" w:eastAsia="Calibri" w:cs="Times New Roman"/>
          <w:sz w:val="24"/>
          <w:szCs w:val="24"/>
        </w:rPr>
        <w:t xml:space="preserve">дате окончания срока подачи заявок на участие в предварительном отборе, опыта оказания услуг и (или) выполнения работ, аналогичных предмету проводимого предварительного отбора, не менее чем по 3 исполненным контрактам и (или) договорам, предметом которых я</w:t>
      </w:r>
      <w:r>
        <w:rPr>
          <w:rFonts w:ascii="Times New Roman" w:hAnsi="Times New Roman" w:eastAsia="Calibri" w:cs="Times New Roman"/>
          <w:sz w:val="24"/>
          <w:szCs w:val="24"/>
        </w:rPr>
        <w:t xml:space="preserve">влялись строительство, реконструкция, капитальный ремонт зданий, являющихся объектами капитального строительства, ремонт (замена) лифтового оборудования, разработка проектной документации, в том числе по договорам, заключенным в соответствии с Положением.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 этом минимальный размер стоимости 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оказанных услуг и (или) выполненных работ по указанным исполненным контрактам и (или) договорам установлен в Приложении № 2 к Документации о проведении предварительного отбора в размере не более 10 процентов предельного размера обязательств по договорам по</w:t>
      </w:r>
      <w:r>
        <w:rPr>
          <w:rFonts w:ascii="Times New Roman" w:hAnsi="Times New Roman" w:eastAsia="Calibri" w:cs="Times New Roman"/>
          <w:sz w:val="24"/>
          <w:szCs w:val="24"/>
        </w:rPr>
        <w:t xml:space="preserve">дряда на подготовку проектной документации, в соответствии с которым указанным участником предварительного отбора, являющимся членом саморегулируемой организации, основанной на членстве лиц, выполняющих инженерные изыскания, или саморегулируемой организаци</w:t>
      </w:r>
      <w:r>
        <w:rPr>
          <w:rFonts w:ascii="Times New Roman" w:hAnsi="Times New Roman" w:eastAsia="Calibri" w:cs="Times New Roman"/>
          <w:sz w:val="24"/>
          <w:szCs w:val="24"/>
        </w:rPr>
        <w:t xml:space="preserve">и, основанной на членстве лиц, осуществляющих подготовку проектной документации, внесен взнос в компенсационный фонд обеспечения договорных обязательств, сформированный в соответствии с частью 2 статьи 55.16 Градостроительного кодекса Российской Федерации.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Размер стоимости оказанных</w:t>
      </w:r>
      <w:r>
        <w:rPr>
          <w:rFonts w:ascii="Times New Roman" w:hAnsi="Times New Roman" w:eastAsia="Calibri" w:cs="Times New Roman"/>
          <w:sz w:val="24"/>
          <w:szCs w:val="24"/>
        </w:rPr>
        <w:t xml:space="preserve"> услуг и (или) выполненных работ по всем исполненным контрактам и (или) договорам, представленным Участником и соответствующим требованиям пункта 23 Положения, определяется как совокупная стоимость услуг и (или) работ по таким контрактам и (или) договорам.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highlight w:val="white"/>
        </w:rPr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н) отсутствие в отношении участника предварительного отбора решения об исключении подрядной организации из реестра квалифицированны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х подрядных организаций в случае установления одного из фактов, указанных в подпунктах "з" - "к" пункта 66 настоящего Положения, в течение года до даты рассмотрения заявок на участие в предварительном отборе комиссией по проведению предварительного отбора.</w:t>
      </w:r>
      <w:r>
        <w:rPr>
          <w:rFonts w:ascii="Times New Roman" w:hAnsi="Times New Roman" w:eastAsia="Calibri" w:cs="Times New Roman"/>
          <w:highlight w:val="white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</w:r>
    </w:p>
    <w:p>
      <w:pPr>
        <w:pStyle w:val="726"/>
        <w:ind w:firstLine="709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V. Требования к содержанию, форме и составу заявки на участие в предварительном отборе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1. Участник должен подготовить Заявку по форме Приложения № 1 к Документации о проведении предварительного отбора, которая должна содержать полное наименование, сведения 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об организационно-правовой форме, о месте нахождения, об адресе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</w:t>
      </w:r>
      <w:r>
        <w:rPr>
          <w:rFonts w:ascii="Times New Roman" w:hAnsi="Times New Roman" w:eastAsia="Calibri" w:cs="Times New Roman"/>
          <w:sz w:val="24"/>
          <w:szCs w:val="24"/>
        </w:rPr>
        <w:t xml:space="preserve">гана участника предварительного отбора, - для юридического лица, или фамилию, имя, отчество, паспортные данные, сведения о месте жительства, номер контактного телефона - для физического лица, зарегистрированного в качестве индивидуального предпринимателя.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2. Участник должен подписать Заявку усиленной квалифицированной электронной подписью.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3. 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4. В состав Заявки включаются следующие документы: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 выписка из Единого государственного реестра юридических лиц или засвидетельствованная в нотариальном порядке копия такой выписки, полученная не ранее чем за 30 календарных дней до даты подачи Заявки, – для юридического лица;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выписка из Единого государственного реестра инд</w:t>
      </w:r>
      <w:r>
        <w:rPr>
          <w:rFonts w:ascii="Times New Roman" w:hAnsi="Times New Roman" w:eastAsia="Calibri" w:cs="Times New Roman"/>
          <w:sz w:val="24"/>
          <w:szCs w:val="24"/>
        </w:rPr>
        <w:t xml:space="preserve">ивидуальных предпринимателей или засвидетельствованная в нотариальном порядке копия такой выписки, полученная не ранее чем за 30 календарных дней до даты подачи Заявки, – для физического лица, зарегистрированного в качестве индивидуального предпринимателя;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 копии учредительных документов Участника – для юридического лица;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 копия засвидетельствованного в нотариальном порядке перевода на русский язык документо</w:t>
      </w:r>
      <w:r>
        <w:rPr>
          <w:rFonts w:ascii="Times New Roman" w:hAnsi="Times New Roman" w:eastAsia="Calibri" w:cs="Times New Roman"/>
          <w:sz w:val="24"/>
          <w:szCs w:val="24"/>
        </w:rPr>
        <w:t xml:space="preserve">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государства, полученная не ранее чем за 6 месяцев до дня подачи Заявки, – для иностранных лиц;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г) документ, подтверждающий полномочия лица на осуществление действий от имени Участника;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д) копия справки налогового органа об отсутствии задолженности по уплате налогов, сборов и иных обязательных платежей в бюджеты бюджетной системы Российской Федерации, полученная не ранее 1 января года, в котором подается Заявка;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highlight w:val="white"/>
        </w:rPr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е) копия расчета по страховым взносам, представляемого плательщиками страховых взносов, составленного за последний отчетный период, предшествующий дате подачи заяв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ки на участие в предварительном отборе, по форме, утвержденной уполномоченным органом, с отметкой уполномоченного органа о приеме или с приложением копии документов, подтверждающих прием уполномоченным органом такого расчета в форме электронного документа;</w:t>
      </w:r>
      <w:r>
        <w:rPr>
          <w:rFonts w:ascii="Times New Roman" w:hAnsi="Times New Roman" w:eastAsia="Calibri" w:cs="Times New Roman"/>
          <w:highlight w:val="white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ж) копия штатного расписания;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з) штатно-списочный состав сотрудников (рекомендуется представлять в соответствии с формой, установленной в Приложении № 3 к Документации о проведении предварительного отбора);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и) копии трудовых книжек и (или) с</w:t>
      </w:r>
      <w:r>
        <w:rPr>
          <w:rFonts w:ascii="Times New Roman" w:hAnsi="Times New Roman" w:eastAsia="Calibri" w:cs="Times New Roman"/>
          <w:sz w:val="24"/>
          <w:szCs w:val="24"/>
        </w:rPr>
        <w:t xml:space="preserve">ведения о трудовой деятельности, предусмотренные статьей 66.1 Трудового кодекса Российской Федерации, копии дипломов, сертификатов, аттестатов и удостоверений, подтверждающих наличие у Участника в штате минимального количества квалифицированного персонала;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к) копии не менее 3 исполненных контрактов и (или) договоров, подтверждающих наличие у Участника, предусмотренного подпунктом «п»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пункта 23 Положения, опыта оказания услуг и (или) выполнения работ, аналогичных предмету проводимого предварительного отбора, в которых указаны установленный срок оказания услуг и (или) выполнения работ и их первоначальная стоимость, копии актов приемки ок</w:t>
      </w:r>
      <w:r>
        <w:rPr>
          <w:rFonts w:ascii="Times New Roman" w:hAnsi="Times New Roman" w:eastAsia="Calibri" w:cs="Times New Roman"/>
          <w:sz w:val="24"/>
          <w:szCs w:val="24"/>
        </w:rPr>
        <w:t xml:space="preserve">азанных услуг и (или) выполненных работ или иных документов по таким контрактам и (или) договорам, в которых указана их окончательная стоимость и которыми подтверждается приемка Заказчиком услуг и (или) работ, оказанных и (или) выполненных в полном объеме.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Обобщенные сведения о наличии контрактов и (или) договоров и их выполнении рекомендуется представить по форме, установленной в Приложение № 5 к Документации о проведении предварительного отбора. 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highlight w:val="white"/>
        </w:rPr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л) согласие на обработку персональных данных в соответствии с Федеральным законом "О персональных данных" каждого работника, персональные данные которого содержатся в заявке на участие в предварительном отборе .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(рекомендуется представлять в соответствии с формой, установленной в Приложении № 6 к Документации о проведении предварительного отбора)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eastAsia="Calibri" w:cs="Times New Roman"/>
          <w:highlight w:val="white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eastAsia="Calibri" w:cs="Times New Roman"/>
          <w:i/>
          <w:sz w:val="24"/>
          <w:szCs w:val="24"/>
        </w:rPr>
      </w:r>
      <w:r>
        <w:rPr>
          <w:rFonts w:ascii="Times New Roman" w:hAnsi="Times New Roman" w:eastAsia="Calibri" w:cs="Times New Roman"/>
          <w:i/>
          <w:sz w:val="24"/>
          <w:szCs w:val="24"/>
        </w:rPr>
      </w:r>
    </w:p>
    <w:p>
      <w:pPr>
        <w:pStyle w:val="726"/>
        <w:ind w:left="36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Порядок подачи заявок на участие в предварительном отборе подрядных организаций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 подачи Заявки Участник должен зарегистрироваться на сайте оператора электронной площадки в соответствии с регламентом работы электронной площадки.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 Регистрация на электронной площадке, а также участие в предварительном отборе осуществляется без взимания платы с Участника.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 Заявка, а также все сведения и документы, которые входят в ее состав, подаются Участником через оператора электронной площадки в виде электронного документа в соответствии с правилами, установленными оператором электронной площадки.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Участник вправе подать только одну Заявку, пока она не рассмотрена в порядке, предусмотренном Документацией о проведении предварительного отбора, и по ней не принято решение об отказе во включении Участника в реестр квалифицированных подрядных организаций.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 Участник, подавший Заявку, вправе ее изменить.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6. Внесение изменений в Заявку осуществляется через сайт оператора электронной площадки в соответствии с регламентом работы электронной площадки. Изменения, которые вносятся в Заявку должны быть подписаны усиленной квалифицированной электронной подписью.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7. 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8. В случае установления факта подачи одним Участником 2 (двух) и более Заявок при условии, что поданные ранее Заявки не отозваны, все Заявки такого Участника не рассматриваются.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9. Заявка подается Участником не ранее даты, указанной в разделе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Документации о проведении предварительного отбора.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10.</w:t>
      </w:r>
      <w: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Заявки, поданные ранее даты и времени, указанные в разделе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Документации о проведении предварительного отбора, не принимаются оператором электронной площадки и возвращаются Участнику.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11. Каждая Заявка, поступившая в установленные сроки, регистрируется оператором электронной площадки, с присвоением порядкового номера.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12. Установленные дата и время окончания срока подачи Заявок могут быть продлены Органом по ведению РКПО в случаях, предусмотренных нормами действующего законодательства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26"/>
        <w:ind w:left="36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Порядок и срок отзыва заявок на участие в предварительном отборе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Участник, подавший Заявку, вправе ее отозвать.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Заявка может быть отозвана до даты и времени окончания срока подачи Заявок, указанных в разделе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Документации о проведении предварительного отбора.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Отзыв Заявки осуществляется через сайт оператора электронной площадки, в соответствии с регламентом работы электронной площадки.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Уведомление об отзыве Заявки должно быть подписано усиленной квалифицированной электронной подписью Участника.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left="142"/>
        <w:jc w:val="both"/>
        <w:spacing w:before="0" w:after="0" w:line="240" w:lineRule="auto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eastAsia="Calibri" w:cs="Times New Roman"/>
          <w:i/>
          <w:sz w:val="24"/>
          <w:szCs w:val="24"/>
        </w:rPr>
      </w:r>
      <w:r>
        <w:rPr>
          <w:rFonts w:ascii="Times New Roman" w:hAnsi="Times New Roman" w:eastAsia="Calibri" w:cs="Times New Roman"/>
          <w:i/>
          <w:sz w:val="24"/>
          <w:szCs w:val="24"/>
        </w:rPr>
      </w:r>
    </w:p>
    <w:p>
      <w:pPr>
        <w:pStyle w:val="726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26"/>
        <w:ind w:left="36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VIII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Форма, порядок, и сроки предоставления участникам предварительного отбора разъяснений положений Документации о проведении предварительного отбора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142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Любое заинтересованное лицо вправе направить в орган по ведению РКПО запрос о разъяснении Документации о проведении предварительного отбора (далее – Запрос).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Запрос направляется в виде электронного документа через сайт оператора электронной площадки в соответствии с регламентом работы электронной площадки.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left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Запросы принимаются до 23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апреля 2026 года.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 В случае если Запрос поступил в сроки, указанные в пункте 3 настоящего раздела, Орган по ведени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 РКПО в течение 3 (трех)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лица, от которого поступил Запрос.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 В случае если Запрос поступил позднее даты, указанной в пункте 3 настоящего раздела, данный Запрос не рассматривается Органом по ведению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6. Запрос должен быть подписан, усиленной квалифицированной электронной подписью лица, направившего Запрос.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7. 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26"/>
        <w:ind w:left="360"/>
        <w:jc w:val="both"/>
        <w:spacing w:before="0" w:after="0" w:line="240" w:lineRule="auto"/>
        <w:tabs>
          <w:tab w:val="left" w:pos="426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IX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Порядок рассмотрения заявок на участие в предварительном отборе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ind w:left="360"/>
        <w:jc w:val="both"/>
        <w:spacing w:before="0" w:after="0" w:line="240" w:lineRule="auto"/>
        <w:tabs>
          <w:tab w:val="left" w:pos="426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numPr>
          <w:ilvl w:val="0"/>
          <w:numId w:val="4"/>
        </w:numPr>
        <w:ind w:left="142" w:hanging="360"/>
        <w:jc w:val="center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Общие положения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726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Поступившие от Участников Заявки рассматриваются комиссией по проведению предварительного отбора (далее – Комиссия).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Комиссия, ее персональный состав, а также порядок ее работы утверждаются Органом по ведению РКПО до начала проведения предварительного отбора.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Информация о Комиссии, порядке ее деятельности, а также о дате, месте и времени рассмотрения Заявок Участников размещена на сайте Органа по ведению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Участие в предварительном отборе и заседаниях Комиссии осуществляется без взимания платы с Участника.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Протоколы Комиссии, составленные в ходе рассмотрения Заявок, хранятся Органом по ведению РКПО не менее 3 (трех) лет.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1.6.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Членами Комиссии не могут быть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заинтересованные лица либо лица, на которых способны оказать влияние Участники (в том числе физические лица, являющиеся участниками (акционерами) этих организаций, членами их органов управления, кредиторами указанных участников предварительного отбора, либ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 физические лица, состоящие в браке с руководителем участника предварительного отбора либо являющиеся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нородными (имеющими общих отца или мать) братьями и сестрами), усыновителями руководителя участника предварительного отбора или усыновленными им). В случае выявления в составе Комиссии указанных лиц Участник должен сообщить об этом Органу по ведению РКПО.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1.7.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Включение в реестр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квалифицированных подрядных организаций информации об Участнике, исключение из него информации об Участнике, а также содержащаяся в реестре квалифицированных подрядных организаций информация могут быть обжалованы заинтересованным лицом в судебном порядке.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numPr>
          <w:ilvl w:val="0"/>
          <w:numId w:val="2"/>
        </w:numPr>
        <w:contextualSpacing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Порядок рассмотрения Заявок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726"/>
        <w:contextualSpacing/>
        <w:ind w:left="319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Заявки должны быть рассмотрены Комиссией до установленной в Извещении и Документацией о проведении предварительного отбора даты окончания срока рассмотрения Заявок.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Информация о дате, времени и месте рассмотрения Комиссий Заявки направляется подавшему ее Участнику через сайт оператора электронной площадки, а также размещается на сайте Органа по ведению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Любой Участник и (или) его представитель вправе участвовать в заседаниях Комиссии и осуществлять аудио- и (или) видеозаписи заседания Комиссии.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 проведении предварительного отбора какие-либо переговоры о таком отборе между членами Комиссии и Участниками не допускаются. В случае нарушения указанного запрета проведение предварительного отбора может быть признано недействительным в судебном порядке.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Комиссия рассматривает Заявки и Участников на их соответствие требованиям, установленным в Документации о проведении предварительного отбора.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2.6.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 основании результатов рассмотрения Заявок Комиссия принимает одно из следующих решений: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 включение Участника в реестр квалифицированных подрядных организаций;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 отказ во включении Участника в реестр квалифицированных подрядных организаций.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2.7.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Решение Комиссии об отказе во включении Участника в реестр квалифицированных подрядных организаций принимается в следующих случаях: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несоответствие Участника требованиям, установленным в Документации о проведении предварительного отбора;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несоответствие Заявки требованиям, установленным в Документации о проведении предварительного отбора;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установление факта представления Участником недостоверной информации (сведений, документов) в составе Заявки.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2.8.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Невключение в реестр квалифицированных подрядных организаций по иным основаниям, кроме случаев, указанных в пункте 2.7 настоящего Порядка, не допускается.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2.9.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Орган по ведению РКП в течение 2 (двух) рабочих дней с даты принятия решения, указанного в подпункте «а» пункта 2.6 настоящего раздела, включает информацию об Участнике в реестр квалифицированных подрядных организаций.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726"/>
        <w:ind w:left="142"/>
        <w:jc w:val="center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Принятие решения о признании предварительного отбора несостоявшимся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726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Предварительный отбор признается Комиссией несостоявшимся в следующих случаях: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если после установленных в Извещении даты и времени окончания срока подачи Заявок подана единственная Заявка или не подано ни одной Заявки;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принятия Комиссией решения о невключении в реестр квалифицированных подрядных организаций всех Участников, подавших Заявки до указанных в Извещении даты и времени окончания срока подачи Заявок.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признания предварительного отбора несостоявшимся Орган по ведению РКПО принимает решение об объявлении процедуры предварительного отбора повторно.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формация о принятом решении, указанном в пункте 3.1 и 3.2 настоящего раздела, размещается Органом по ведению РКПО на официальном сайте и сайте оператора электронной площадки, в течение 2 рабочих дней со дня признания предварительного отбора несостоявшимся.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если предварительный отбор 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ризнан несостоявшимся в связи с подачей единственной Заявки и Участник, подавший такую Заявку, соответствует требованиям, установленным в Документации о проведении предварительного отбора, то он включается в реестр квалифицированных подрядных организаций.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left="142"/>
        <w:jc w:val="center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4.</w:t>
      </w: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Протокол заседания Комиссии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рассмотрения Заявок и принимаемые Комиссией решения, оформляются протоколом Комиссии, который подписывается всеми членами Комиссии, участвующими в заседании.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Протокол оформляется и размещается Органом по ведению РКПО на официальном сайте и сайте оператора электронной площадки в течение 2 (двух) рабочих дней со дня его подписания.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протоколе указывается информация о месте, дате и времени рассмотрения заявок на участие в предварительном отборе, номер предварительного отбора, наименование (для юридического лица), адрес электр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онной площадки в сети «Интернет», на которой проводится предварительный отбор, фамилия, имя, отчество (при наличии) (для физического лица, зарегистрированного в качестве индивидуального предпринимателя), адрес юридического лица и электронный адрес, идентиф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икационный номер налогоплательщика каждого участника предварительного отбора, наличие информации и документов, предусмотренных документацией о проведении предварительного отбора, состав членов комиссии, участвующих в рассмотрении заявок, принятые решения.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4.4. При принятии комиссией по предварительному отбору решения об отказе во включении участника предварительного отбора в реестр квалифицированных подрядных организаций в протоколе указывается обоснование такого решени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я со ссылками на нормы Положения, которым не соответствует участник предварительного отбора, на положения документации о проведении предварительного отбора, которым не соответствует заявка этого участника, на документы, подтверждающие такое несоответствие.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1134" w:left="1418" w:header="709" w:footer="0" w:gutter="0"/>
          <w:cols w:num="1" w:sep="0" w:space="1701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принятии Комиссией решения о включении Участника в реестр квалифицированных подрядных организаций </w:t>
      </w:r>
      <w:r>
        <w:rPr>
          <w:rFonts w:ascii="Times New Roman" w:hAnsi="Times New Roman" w:eastAsia="Calibri" w:cs="Times New Roman"/>
          <w:sz w:val="24"/>
          <w:szCs w:val="24"/>
        </w:rPr>
        <w:t xml:space="preserve">в протоколе указывается предельный размер обязательств участника предварительного отбора по обязательствам по договорам подряда на подготовку проектной документации, заключаемым с использованием конкурентны</w:t>
      </w:r>
      <w:r>
        <w:rPr>
          <w:rFonts w:ascii="Times New Roman" w:hAnsi="Times New Roman" w:eastAsia="Calibri" w:cs="Times New Roman"/>
          <w:sz w:val="24"/>
          <w:szCs w:val="24"/>
        </w:rPr>
        <w:t xml:space="preserve">х способов заключения договоров, в соответствии с которым такой участник предварительного отбора, как член соответствующей саморегулируемой организации, внес взнос в компенсационный фонд обеспечения договорных обязательств, сформированный в соответствии с </w:t>
      </w:r>
      <w:hyperlink r:id="rId21" w:tooltip="consultantplus://offline/ref=A2283303C7D254AD7348380E740FF25A10E2ED22CEB7A37225481EC656EC239C45C4E1787FF2A849uEg7B" w:history="1">
        <w:r>
          <w:rPr>
            <w:rFonts w:ascii="Times New Roman" w:hAnsi="Times New Roman" w:eastAsia="Calibri" w:cs="Times New Roman"/>
            <w:sz w:val="24"/>
            <w:szCs w:val="24"/>
          </w:rPr>
          <w:t xml:space="preserve">частью 2 статьи 55.16</w:t>
        </w:r>
      </w:hyperlink>
      <w:r>
        <w:rPr>
          <w:rFonts w:ascii="Times New Roman" w:hAnsi="Times New Roman" w:eastAsia="Calibri" w:cs="Times New Roman"/>
          <w:sz w:val="24"/>
          <w:szCs w:val="24"/>
        </w:rPr>
        <w:t xml:space="preserve"> Градостроительного кодекса Российской Федерации.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5670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 1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584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ФОРМА ЗАЯВКИ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НА УЧАСТИЕ В ПРЕДВАРИТЕЛЬНОМ ОТБОРЕ ПОДРЯДНЫХ ОРГАНИЗАЦИЙ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 ИЗВЕЩЕНИЮ № ___ ОТ __________________*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ind w:left="584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584"/>
        <w:jc w:val="right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u w:val="single"/>
        </w:rPr>
        <w:t xml:space="preserve">«</w:t>
        <w:tab/>
        <w:t xml:space="preserve">      »</w:t>
      </w:r>
      <w:r>
        <w:rPr>
          <w:rFonts w:ascii="Times New Roman" w:hAnsi="Times New Roman" w:eastAsia="Calibri" w:cs="Times New Roman"/>
          <w:sz w:val="24"/>
          <w:szCs w:val="24"/>
        </w:rPr>
        <w:t xml:space="preserve"> ______________ 2__ года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Изучив условия Извещения о проведении предварительного отбора подрядных организаций № __________ от __________, и принимая установленные в нём требования и условия,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(указывается полное наименование, организационно правовая форма участника предварительного отбора или ФИО индивидуального предпринимателя)</w:t>
      </w:r>
      <w:r>
        <w:rPr>
          <w:rFonts w:ascii="Times New Roman" w:hAnsi="Times New Roman" w:eastAsia="Calibri" w:cs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 в лице 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  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(указывается фамилия, имя, отчество (при наличии) представителя участника предварительного отбора – юридического лица)    действующего на основании (указывается документ, на основании которого действует представитель юридического лица или физического лица)</w:t>
      </w:r>
      <w:r>
        <w:rPr>
          <w:rFonts w:ascii="Times New Roman" w:hAnsi="Times New Roman" w:eastAsia="Calibri" w:cs="Times New Roman"/>
          <w:sz w:val="24"/>
          <w:szCs w:val="24"/>
        </w:rPr>
        <w:t xml:space="preserve">     просит рассмотреть заявку на участие в предварительном отборе подрядных организаций по предмету отбора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                       (указывается предмет предварительного отбора) .</w:t>
      </w:r>
      <w:r>
        <w:rPr>
          <w:rFonts w:ascii="Times New Roman" w:hAnsi="Times New Roman" w:eastAsia="Calibri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Документация о проведении предварительного отбора изучена в полном объеме и признана полной и достаточной для подготовки настоящей Заявки.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firstLine="709"/>
        <w:jc w:val="both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Настоящим гарантируем достоверность представленной информации и подтверждаем право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(указывается наименование органа по ведению реестра квалифицированных подрядных организаций)  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получать в открытых информационных источниках, в уполномоченных органах власти информацию, уточняющую представленные нами в заявке сведения.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709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Сообщаем о себе следующее: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numPr>
          <w:ilvl w:val="0"/>
          <w:numId w:val="1"/>
        </w:numPr>
        <w:ind w:left="0" w:firstLine="0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Полное наименование организации и сведения об организационно-правовой форме (или Фамилия Имя Отчество (при наличии отчества) для индивидуального предпринимателя): __________________________________________________________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Адрес юридического лица (или адрес места жительства – для индивидуального предпринимателя): 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Адрес для почтовых отправлений: 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Телефон:_________________________________________________________________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Адрес электронной почты: 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numPr>
          <w:ilvl w:val="0"/>
          <w:numId w:val="1"/>
        </w:numPr>
        <w:ind w:left="0" w:firstLine="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Учредители - полное наименование юридического лица и его организационно правовая форма (или ФИО для учредителя – физического лица)/ ИНН: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__________________________________/ИНН 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ФИО членов коллегиального исполнительного органа/ ИНН: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__________________________________/ИНН 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ФИО единоличного исполнительного органа/ ИНН: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____________________________________/ИНН____________________________________,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ФИО лиц, уполномоченных действовать от имени участника предварительного отбора: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Настоящим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 (указывается полное наименование и организационно-правовая форма юридического лица или Фамилия Имя Отчество (при наличии отчества) для индивидуального предпринимателя)    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подтверждает соответствие требованиям, установленным в Документации о проведении предварительного отбора.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850"/>
        <w:jc w:val="both"/>
        <w:spacing w:before="0" w:after="0" w:line="240" w:lineRule="auto"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Приложения: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(указываются перечень прилагаемых документов, перечисленных в пункте 4 раздела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  <w:lang w:val="en-US"/>
        </w:rPr>
        <w:t xml:space="preserve">V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. Документации о проведении предварительного отбора)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spacing w:before="0" w:after="0" w:line="240" w:lineRule="auto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eastAsia="Calibri" w:cs="Times New Roman"/>
          <w:i/>
          <w:sz w:val="24"/>
          <w:szCs w:val="24"/>
        </w:rPr>
      </w:r>
      <w:r>
        <w:rPr>
          <w:rFonts w:ascii="Times New Roman" w:hAnsi="Times New Roman" w:eastAsia="Calibri" w:cs="Times New Roman"/>
          <w:i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 2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МИНИМАЛЬНЫЙ РАЗМЕР СТОИМОСТИ ОКАЗАННЫХ УСЛУГ И (ИЛИ) ВЫПОЛНЕННЫХ РАБОТ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tbl>
      <w:tblPr>
        <w:tblW w:w="9494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3"/>
        <w:gridCol w:w="5318"/>
        <w:gridCol w:w="3613"/>
      </w:tblGrid>
      <w:tr>
        <w:tblPrEx/>
        <w:trPr>
          <w:trHeight w:val="3552"/>
        </w:trPr>
        <w:tc>
          <w:tcPr>
            <w:shd w:val="clear" w:color="auto" w:fill="d9d9d9" w:themeFill="background1" w:themeFillShade="D9"/>
            <w:tcW w:w="563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shd w:val="clear" w:color="auto" w:fill="d9d9d9" w:themeFill="background1" w:themeFillShade="D9"/>
            <w:tcW w:w="5318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Предельный размер обязательств  по договорам 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одряда на подготовку проектной документации, в соответствии с которым указанным участником предварительного отбора, являющимся членом саморегулируемой организации, основанной на членстве лиц, выполняющих инженерные изыскания, или саморегулируемой организац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ии, основанной на членстве лиц, осуществляющих подготовку проектной документации, внесен взнос в компенсационный фонд обеспечения договорных обязательств, сформированный в соответствии с частью 2 статьи 55.16 Градостроительного кодекса Российской Федерации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3613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Минимальный размер стоимости оказанных услуг и (или) выполненных работ по исполненным контрактам и (или) договорам*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>
          <w:trHeight w:val="613"/>
        </w:trPr>
        <w:tc>
          <w:tcPr>
            <w:shd w:val="clear" w:color="auto" w:fill="d9d9d9" w:themeFill="background1" w:themeFillShade="D9"/>
            <w:tcW w:w="563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5318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3613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3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не превышает 25 миллионов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26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(первый уровень ответственности члена саморегулируемой организации)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11"/>
              <w:jc w:val="left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13" w:type="dxa"/>
            <w:textDirection w:val="lrTb"/>
            <w:noWrap w:val="false"/>
          </w:tcPr>
          <w:p>
            <w:pPr>
              <w:pStyle w:val="811"/>
              <w:jc w:val="left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2 % от предельного размера обязательств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3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811"/>
              <w:jc w:val="left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не превышает 50 миллионов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11"/>
              <w:jc w:val="left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(второй уровень ответственности члена саморегулируемой организации)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11"/>
              <w:jc w:val="left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13" w:type="dxa"/>
            <w:textDirection w:val="lrTb"/>
            <w:noWrap w:val="false"/>
          </w:tcPr>
          <w:p>
            <w:pPr>
              <w:pStyle w:val="811"/>
              <w:jc w:val="left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1 % от предельного размера обязательств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37"/>
        </w:trPr>
        <w:tc>
          <w:tcPr>
            <w:tcW w:w="563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811"/>
              <w:jc w:val="left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не превышает 300 миллионов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11"/>
              <w:jc w:val="left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(третий уровень ответственности члена саморегулируемой организации)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11"/>
              <w:jc w:val="left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13" w:type="dxa"/>
            <w:vMerge w:val="restart"/>
            <w:textDirection w:val="lrTb"/>
            <w:noWrap w:val="false"/>
          </w:tcPr>
          <w:p>
            <w:pPr>
              <w:pStyle w:val="811"/>
              <w:jc w:val="left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0,3 % от предельного размера обязательств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37"/>
        </w:trPr>
        <w:tc>
          <w:tcPr>
            <w:tcW w:w="563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5318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составляет 300 миллионов рублей и более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(четвертый уровень ответственности члена саморегулируемой организации)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3613" w:type="dxa"/>
            <w:vMerge w:val="continue"/>
            <w:textDirection w:val="lrTb"/>
            <w:noWrap w:val="false"/>
          </w:tcPr>
          <w:p>
            <w:pPr>
              <w:pStyle w:val="72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</w:tbl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  <w:highlight w:val="cyan"/>
        </w:rPr>
      </w:pPr>
      <w:r>
        <w:rPr>
          <w:rFonts w:ascii="Times New Roman" w:hAnsi="Times New Roman" w:eastAsia="Calibri" w:cs="Times New Roman"/>
          <w:b/>
          <w:sz w:val="24"/>
          <w:szCs w:val="24"/>
          <w:highlight w:val="cyan"/>
        </w:rPr>
      </w:r>
      <w:r>
        <w:rPr>
          <w:rFonts w:ascii="Times New Roman" w:hAnsi="Times New Roman" w:eastAsia="Calibri" w:cs="Times New Roman"/>
          <w:b/>
          <w:sz w:val="24"/>
          <w:szCs w:val="24"/>
          <w:highlight w:val="cyan"/>
        </w:rPr>
      </w:r>
    </w:p>
    <w:p>
      <w:pPr>
        <w:pStyle w:val="726"/>
        <w:ind w:firstLine="540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*</w:t>
      </w:r>
      <w:r>
        <w:rPr>
          <w:rFonts w:ascii="Times New Roman" w:hAnsi="Times New Roman" w:eastAsia="Calibri" w:cs="Times New Roman"/>
          <w:sz w:val="24"/>
          <w:szCs w:val="24"/>
        </w:rPr>
        <w:t xml:space="preserve"> Размер стоимости оказанных</w:t>
      </w:r>
      <w:r>
        <w:rPr>
          <w:rFonts w:ascii="Times New Roman" w:hAnsi="Times New Roman" w:eastAsia="Calibri" w:cs="Times New Roman"/>
          <w:sz w:val="24"/>
          <w:szCs w:val="24"/>
        </w:rPr>
        <w:t xml:space="preserve"> услуг и (или) выполненных работ по всем исполненным контрактам и (или) договорам, представленным Участником и соответствующим требованиям пункта 23 Положения, определяется как совокупная стоимость услуг и (или) работ по таким контрактам и (или) договорам.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  <w:highlight w:val="cyan"/>
        </w:rPr>
        <w:sectPr>
          <w:headerReference w:type="default" r:id="rId10"/>
          <w:headerReference w:type="first" r:id="rId11"/>
          <w:footnotePr/>
          <w:endnotePr/>
          <w:type w:val="nextPage"/>
          <w:pgSz w:w="11906" w:h="16838" w:orient="portrait"/>
          <w:pgMar w:top="1134" w:right="567" w:bottom="1134" w:left="1418" w:header="708" w:footer="0" w:gutter="0"/>
          <w:cols w:num="1" w:sep="0" w:space="1701" w:equalWidth="1"/>
          <w:docGrid w:linePitch="360"/>
          <w:titlePg/>
        </w:sectPr>
      </w:pPr>
      <w:r>
        <w:rPr>
          <w:rFonts w:ascii="Times New Roman" w:hAnsi="Times New Roman" w:eastAsia="Calibri" w:cs="Times New Roman"/>
          <w:b/>
          <w:sz w:val="24"/>
          <w:szCs w:val="24"/>
          <w:highlight w:val="cyan"/>
        </w:rPr>
      </w:r>
      <w:r>
        <w:rPr>
          <w:rFonts w:ascii="Times New Roman" w:hAnsi="Times New Roman" w:eastAsia="Calibri" w:cs="Times New Roman"/>
          <w:b/>
          <w:sz w:val="24"/>
          <w:szCs w:val="24"/>
          <w:highlight w:val="cyan"/>
        </w:rPr>
      </w:r>
    </w:p>
    <w:p>
      <w:pPr>
        <w:pStyle w:val="726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 3 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jc w:val="both"/>
        <w:spacing w:before="12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jc w:val="both"/>
        <w:spacing w:before="12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ФОРМА ШТАТНО-СПИСОЧНОГО СОСТАВА СОТРУДНИКОВ 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726"/>
        <w:jc w:val="center"/>
        <w:spacing w:before="0" w:after="12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pStyle w:val="726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Участник предварительного отбора подрядных организаций: </w:t>
      </w:r>
      <w:r>
        <w:rPr>
          <w:rFonts w:ascii="Times New Roman" w:hAnsi="Times New Roman" w:eastAsia="Times New Roman" w:cs="Times New Roman"/>
          <w:bCs/>
          <w:i/>
          <w:sz w:val="24"/>
          <w:szCs w:val="24"/>
          <w:u w:val="single"/>
          <w:lang w:eastAsia="ru-RU"/>
        </w:rPr>
        <w:t xml:space="preserve">(указывается полное наименование и организационно правовая форма для юридического лица или Фамилия, Имя, Отчество (при наличии отчества) для индивидуального предпринимателя) </w:t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  <w:lang w:eastAsia="ru-RU"/>
        </w:rPr>
        <w:t xml:space="preserve">       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tbl>
      <w:tblPr>
        <w:tblW w:w="14614" w:type="dxa"/>
        <w:tblInd w:w="41" w:type="dxa"/>
        <w:tblLayout w:type="fixed"/>
        <w:tblCellMar>
          <w:left w:w="40" w:type="dxa"/>
          <w:top w:w="0" w:type="dxa"/>
          <w:right w:w="40" w:type="dxa"/>
          <w:bottom w:w="0" w:type="dxa"/>
        </w:tblCellMar>
        <w:tblLook w:val="0000" w:firstRow="0" w:lastRow="0" w:firstColumn="0" w:lastColumn="0" w:noHBand="0" w:noVBand="0"/>
      </w:tblPr>
      <w:tblGrid>
        <w:gridCol w:w="567"/>
        <w:gridCol w:w="1559"/>
        <w:gridCol w:w="1701"/>
        <w:gridCol w:w="1701"/>
        <w:gridCol w:w="2977"/>
        <w:gridCol w:w="3118"/>
        <w:gridCol w:w="2990"/>
      </w:tblGrid>
      <w:tr>
        <w:tblPrEx/>
        <w:trPr>
          <w:trHeight w:val="1964"/>
        </w:trPr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726"/>
              <w:ind w:firstLine="43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72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Фамилия, имя, отчество работника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72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Образование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72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726"/>
              <w:ind w:right="10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Общий трудовой стаж по профессии, специальности или направлению подготовки в области инженерных изысканий и архитектурно-строительного проектирования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26"/>
              <w:ind w:right="102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(лет)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Сведения о включении в реестр специалистов в области инженерных изысканий и архитектурно-строительного проектирования</w:t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pStyle w:val="72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72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Наличие необходимых сертификатов, лицензий, наличие удостоверений по соответствующим допускам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7"/>
        </w:trPr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726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72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72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72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pStyle w:val="72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72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72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4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726"/>
              <w:ind w:right="-37"/>
              <w:jc w:val="center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72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72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72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72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72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72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4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726"/>
              <w:ind w:right="-37"/>
              <w:jc w:val="center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72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72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72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72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72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72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4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726"/>
              <w:ind w:right="-37"/>
              <w:jc w:val="center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72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72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72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72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72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72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Примечание: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Данные формируются в разрезе каждого сотрудника, удовлетворяющего требованиям к минимальному количеству квалифицированного персонала, установленным органом по ведению реестра квалифицированных подрядных организаций в пункте «л» раздела </w:t>
      </w:r>
      <w:r>
        <w:rPr>
          <w:rFonts w:ascii="Times New Roman" w:hAnsi="Times New Roman" w:eastAsia="Times New Roman" w:cs="Times New Roman"/>
          <w:i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V Документации.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Табличная форма включает в себя следующие данные: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«№ п/п» указывается номер строки по порядку;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«Фамилия, имя, отчество работника» указываются фамилия имя и отчество (при наличии отчества) сотрудника;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 в графе «Образование» указываются сведения об образовании и полученной специальности сотрудника, соответствующие данным предоставляемого диплома или другого документа об образовании;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 в графе «Должность» указываются сведения о должности сотрудника, занимаемой в данной организации, соответствующие сведениям трудового договора;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«Общий трудовой стаж по профессии, специальности или направлению подготовки в области строительства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(лет)» указываются сведения о стаже работы сотрудника в сфере строительства, которые должны соответствовать сведениям в документах, предоставляемых участником предварительного отбора (трудовым книжкам, дипломам, трудовым договорам);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«Сведения о включении в реестр специалистов в области </w:t>
      </w:r>
      <w:r>
        <w:rPr>
          <w:rFonts w:ascii="Times New Roman" w:hAnsi="Times New Roman" w:eastAsia="Calibri" w:cs="Times New Roman"/>
          <w:sz w:val="24"/>
          <w:szCs w:val="24"/>
        </w:rPr>
        <w:t xml:space="preserve">инженерных изысканий и архитектурно-строительного проектирования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)» - ук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азываются сведения о наличии специалистов по организации инженерных изысканий (главных инженеров проектов), специалистов по организации архитектурно-строительного проектирования (главных инженеров проектов, главных архитекторов проектов), специалистов по о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рганизации строительства (главных инженеров проектов), сведения о которых включены в национальные реестры специалистов, предусмотренные статьей 55.5-1 Градостроительного кодекса Российской Федерации, - не менее чем два специалиста по месту основной работы;</w:t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«Наличие необходимых сертификатов, лицензий,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удостоверений» указываются сведения об имеющихся у сотрудника сертификатах, разрешений и пр. документов, подтверждающих соответствие персонала участника предварительного отбора требованиям органа по ведению реестра квалифицированных подрядных организаций.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firstLine="709"/>
        <w:jc w:val="right"/>
        <w:spacing w:before="0" w:after="0" w:line="240" w:lineRule="auto"/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 4</w:t>
      </w:r>
      <w:r/>
    </w:p>
    <w:p>
      <w:pPr>
        <w:pStyle w:val="726"/>
        <w:ind w:firstLine="709"/>
        <w:jc w:val="right"/>
        <w:spacing w:before="0" w:after="0" w:line="240" w:lineRule="auto"/>
      </w:pPr>
      <w:r/>
      <w:r/>
    </w:p>
    <w:p>
      <w:pPr>
        <w:pStyle w:val="726"/>
        <w:ind w:firstLine="709"/>
        <w:jc w:val="center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ТРЕБОВАНИЯ К МИНИМАЛЬНОМУ КОЛИЧЕСТВУ КВАЛИФИЦИРОВАННОГО ПЕРСОНАЛА, ВХОДЯЩЕГО В ШТАТ УЧАСТНИКА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tbl>
      <w:tblPr>
        <w:tblW w:w="1470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64"/>
        <w:gridCol w:w="3066"/>
        <w:gridCol w:w="3650"/>
        <w:gridCol w:w="2577"/>
        <w:gridCol w:w="1639"/>
        <w:gridCol w:w="3112"/>
      </w:tblGrid>
      <w:tr>
        <w:tblPrEx/>
        <w:trPr>
          <w:trHeight w:val="1574"/>
        </w:trPr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Образование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Стаж работы по специальности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Количество человек, не менее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Требование по включению в реестр специалистов</w:t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561"/>
        </w:trPr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  <w:highlight w:val="yellow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 w:cs="Times New Roman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Индивидуальный предприниматель/руководитель юридического лица, самостоятельно организующие строительство</w:t>
            </w:r>
            <w:r/>
          </w:p>
          <w:p>
            <w:pPr>
              <w:pStyle w:val="726"/>
              <w:spacing w:before="0" w:after="160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Высшее образование по профессии, специальности или направлению подготовки в области инженерных изысканий и архитектурно-строительного проектирования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Не менее 5 лет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  <w:highlight w:val="yellow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 w:cs="Times New Roman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Работник индивидуального предпринимателя/  юридического лица – специалист по организации по организации инженерных изысканий (главный инженер проектов), архитектурно-строительного проектирования (главных инженеров проектов, главных архитекторов проектов) </w:t>
            </w:r>
            <w:r/>
          </w:p>
          <w:p>
            <w:pPr>
              <w:pStyle w:val="726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Высшее образование по профессии, специальности или направлению подготовки в области строительства</w:t>
            </w:r>
            <w:r/>
          </w:p>
          <w:p>
            <w:pPr>
              <w:pStyle w:val="726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726"/>
              <w:spacing w:before="0" w:after="16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/>
          </w:p>
          <w:p>
            <w:pPr>
              <w:pStyle w:val="726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по основному месту работы</w:t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Сведения о специалисте должны быть включены в национальный реестр специалистов в области инженерных изысканий и архитектурно-строительного проектирования</w:t>
            </w:r>
            <w:r/>
          </w:p>
          <w:p>
            <w:pPr>
              <w:pStyle w:val="726"/>
              <w:jc w:val="both"/>
              <w:spacing w:before="0" w:after="0" w:line="240" w:lineRule="auto"/>
            </w:pPr>
            <w:r/>
            <w:r/>
          </w:p>
          <w:p>
            <w:pPr>
              <w:pStyle w:val="726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</w:tbl>
    <w:p>
      <w:pPr>
        <w:pStyle w:val="726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ПЕРЕЧЕНЬ КОНТРАКТОВ И (ИЛИ) ДОГОВОРОВ, ПОДТВЕРЖДАЮЩИХ НАЛИЧИЕ У УЧАСТНИКА ПРЕДВАРИТЕЛЬНОГО ОТБОРА ОПЫТА ОКАЗАНИЯ УСЛУГ И (ИЛИ) ВЫПОЛНЕНИЯ РАБОТ, АНАЛОГИЧНЫХ ПРЕДМЕТУ ПРЕДВАРИТЕЛЬНОГО ОТБОРА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4601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1"/>
        <w:gridCol w:w="1849"/>
        <w:gridCol w:w="1955"/>
        <w:gridCol w:w="1956"/>
        <w:gridCol w:w="2827"/>
        <w:gridCol w:w="2593"/>
        <w:gridCol w:w="2819"/>
      </w:tblGrid>
      <w:tr>
        <w:tblPrEx/>
        <w:trPr>
          <w:trHeight w:val="2632"/>
        </w:trPr>
        <w:tc>
          <w:tcPr>
            <w:shd w:val="clear" w:color="auto" w:fill="d9d9d9" w:themeFill="background1" w:themeFillShade="D9"/>
            <w:tcW w:w="601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849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Наименование, дата заключения и номер контракта и (или)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5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Установленный срок оказания услуг и (или) выполнения работ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6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Первоначальная стоимость услуг и (или) работ,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827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Наименование, дата и номер актов приемки оказанных услуг и (или) выполненных работ по контракту и (или) договору или иных документов, подтверждающих приемку услуг и (или) работ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593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Окончательная стоимость услуг и (или) работ (согласно актам приемки оказанных услуг и (или) выполненных работ),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819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Наличие подтверждения приемки заказчиком услуг и (или) работ по контракту и (или) договору, оказанных и (или) выполненных в полном объеме (наличие/отсутствие подписи заказчика о приемке)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6"/>
        </w:trPr>
        <w:tc>
          <w:tcPr>
            <w:shd w:val="clear" w:color="auto" w:fill="d9d9d9" w:themeFill="background1" w:themeFillShade="D9"/>
            <w:tcW w:w="601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849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5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6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827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593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819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tcW w:w="601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5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6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27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593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19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>
          <w:trHeight w:val="540"/>
        </w:trPr>
        <w:tc>
          <w:tcPr>
            <w:tcW w:w="601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5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6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27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593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19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>
          <w:trHeight w:val="540"/>
        </w:trPr>
        <w:tc>
          <w:tcPr>
            <w:tcW w:w="601" w:type="dxa"/>
            <w:textDirection w:val="lrTb"/>
            <w:noWrap w:val="false"/>
          </w:tcPr>
          <w:p>
            <w:pPr>
              <w:pStyle w:val="72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5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6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27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593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19" w:type="dxa"/>
            <w:textDirection w:val="lrTb"/>
            <w:noWrap w:val="false"/>
          </w:tcPr>
          <w:p>
            <w:pPr>
              <w:pStyle w:val="72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</w:tbl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headerReference w:type="default" r:id="rId12"/>
          <w:headerReference w:type="first" r:id="rId13"/>
          <w:footnotePr/>
          <w:endnotePr/>
          <w:type w:val="nextPage"/>
          <w:pgSz w:w="16838" w:h="11906" w:orient="landscape"/>
          <w:pgMar w:top="1418" w:right="1134" w:bottom="567" w:left="1134" w:header="709" w:footer="0" w:gutter="0"/>
          <w:cols w:num="1" w:sep="0" w:space="1701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ab/>
        <w:tab/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jc w:val="right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left="5812"/>
        <w:jc w:val="right"/>
        <w:spacing w:before="0" w:after="0" w:line="240" w:lineRule="auto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</w:p>
    <w:p>
      <w:pPr>
        <w:pStyle w:val="726"/>
        <w:jc w:val="center"/>
        <w:rPr>
          <w:rFonts w:ascii="Times New Roman" w:hAnsi="Times New Roman" w:cs="Times New Roman"/>
          <w:b/>
          <w:bCs/>
          <w:highlight w:val="none"/>
        </w:rPr>
      </w:pPr>
      <w:r>
        <w:rPr>
          <w:rFonts w:ascii="Times New Roman" w:hAnsi="Times New Roman" w:eastAsia="Times New Roman" w:cs="Times New Roman"/>
          <w:b/>
          <w:bCs/>
        </w:rPr>
        <w:t xml:space="preserve">СОГЛАСИЕ НА ОБРАБОТКУ ПЕРСОНАЛЬНЫХ ДАННЫХ В СООТВЕТСТВИИ С ФЕДЕРАЛЬНЫМ ЗАКОНОМ «О ПЕРСОНАЛЬНЫХ ДАННЫХ» </w:t>
      </w:r>
      <w:r>
        <w:rPr>
          <w:rFonts w:ascii="Times New Roman" w:hAnsi="Times New Roman" w:cs="Times New Roman"/>
          <w:b/>
          <w:bCs/>
          <w:highlight w:val="none"/>
        </w:rPr>
      </w:r>
    </w:p>
    <w:p>
      <w:pPr>
        <w:pStyle w:val="726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7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СОГЛАСИЕ </w:t>
      </w:r>
      <w:r>
        <w:rPr>
          <w:rFonts w:ascii="Times New Roman" w:hAnsi="Times New Roman" w:cs="Times New Roman"/>
        </w:rPr>
      </w:r>
    </w:p>
    <w:p>
      <w:pPr>
        <w:pStyle w:val="726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 обработку персональных данных 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72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Я, субъект персональных данных: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______________________________________________________________________</w:t>
      </w:r>
      <w:r>
        <w:rPr>
          <w:rFonts w:ascii="Times New Roman" w:hAnsi="Times New Roman" w:cs="Times New Roman"/>
        </w:rPr>
      </w:r>
    </w:p>
    <w:p>
      <w:pPr>
        <w:pStyle w:val="7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18"/>
          <w:szCs w:val="18"/>
        </w:rPr>
        <w:t xml:space="preserve">(Ф.И.О. полностью)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Style w:val="72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основной документ, удостоверяющий личность:_____________________________</w:t>
      </w:r>
      <w:r>
        <w:rPr>
          <w:rFonts w:ascii="Times New Roman" w:hAnsi="Times New Roman" w:cs="Times New Roman"/>
        </w:rPr>
      </w:r>
    </w:p>
    <w:p>
      <w:pPr>
        <w:pStyle w:val="7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(</w:t>
      </w:r>
      <w:r>
        <w:rPr>
          <w:rFonts w:ascii="Times New Roman" w:hAnsi="Times New Roman" w:eastAsia="Times New Roman" w:cs="Times New Roman"/>
          <w:sz w:val="18"/>
          <w:szCs w:val="18"/>
        </w:rPr>
        <w:t xml:space="preserve">наименование, серия, номер, дата выдачи, выдавший орган, код подразделения)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Style w:val="72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зарегистрированного(-ой) по адресу: ______________________________________________________________________ </w:t>
      </w:r>
      <w:r>
        <w:rPr>
          <w:rFonts w:ascii="Times New Roman" w:hAnsi="Times New Roman" w:cs="Times New Roman"/>
        </w:rPr>
      </w:r>
    </w:p>
    <w:p>
      <w:pPr>
        <w:pStyle w:val="7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соответствии со ст. 9 Федерального закона от 27.07.2006 № 152-ФЗ «О персональных данных» даю конкретное, предметное</w:t>
      </w:r>
      <w:r>
        <w:rPr>
          <w:rFonts w:ascii="Times New Roman" w:hAnsi="Times New Roman" w:eastAsia="Times New Roman" w:cs="Times New Roman"/>
        </w:rPr>
        <w:t xml:space="preserve">, информированное, сознательное и однозначное согласие на обработку своих персональных данных, указанных в любой из частей заявки на участие в предварительном отборе на право включения ______________________________________________________________________ </w:t>
      </w:r>
      <w:r>
        <w:rPr>
          <w:rFonts w:ascii="Times New Roman" w:hAnsi="Times New Roman" w:cs="Times New Roman"/>
        </w:rPr>
      </w:r>
    </w:p>
    <w:p>
      <w:pPr>
        <w:pStyle w:val="7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18"/>
          <w:szCs w:val="18"/>
        </w:rPr>
        <w:t xml:space="preserve">(наименование участника предварительного отбора и ИНН)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Style w:val="7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реестр квалифицированных подрядных организаций, имеющих право принимать участие в электронных аукционах, предметом которых является оказание услуг и (или) выполнени</w:t>
      </w:r>
      <w:r>
        <w:rPr>
          <w:rFonts w:ascii="Times New Roman" w:hAnsi="Times New Roman" w:eastAsia="Times New Roman" w:cs="Times New Roman"/>
        </w:rPr>
        <w:t xml:space="preserve">е работ по капитальному ремонту общего имущества многоквартирных домов (указать номер предварительного отбора) органу, уполномоченному на ведение реестра квалифицированных подрядных организаций (далее - РКПО), в соответствии с постановлением Правительства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Новосибирской области от 24.08.2016 № 242-п</w:t>
      </w:r>
      <w:r>
        <w:rPr>
          <w:rFonts w:ascii="Times New Roman" w:hAnsi="Times New Roman" w:eastAsia="Times New Roman" w:cs="Times New Roman"/>
        </w:rPr>
        <w:t xml:space="preserve"> 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Министерству жилищно-коммунального хозяйства и энергетики Новосибирской области</w:t>
      </w:r>
      <w:r>
        <w:rPr>
          <w:rFonts w:ascii="Times New Roman" w:hAnsi="Times New Roman" w:eastAsia="Times New Roman" w:cs="Times New Roman"/>
        </w:rPr>
        <w:t xml:space="preserve"> (ИНН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5406793110</w:t>
      </w:r>
      <w:r>
        <w:rPr>
          <w:rFonts w:ascii="Times New Roman" w:hAnsi="Times New Roman" w:eastAsia="Times New Roman" w:cs="Times New Roman"/>
        </w:rPr>
        <w:t xml:space="preserve">, далее - оператор), находящемуся по адресу: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630091, г. Новосибирск, ул. Фрунзе, 5, оф. 639</w:t>
      </w:r>
      <w:r>
        <w:rPr>
          <w:rFonts w:ascii="Times New Roman" w:hAnsi="Times New Roman" w:eastAsia="Times New Roman" w:cs="Times New Roman"/>
        </w:rPr>
        <w:t xml:space="preserve">, с целью исполнения требований п. 25 и пп. в) п. 38 Положения, утвержденного постановлением Правительства Российской Федерации от 01.07.2016 № 615 «О порядке привлечения подря</w:t>
      </w:r>
      <w:r>
        <w:rPr>
          <w:rFonts w:ascii="Times New Roman" w:hAnsi="Times New Roman" w:eastAsia="Times New Roman" w:cs="Times New Roman"/>
        </w:rPr>
        <w:t xml:space="preserve">дных организаций для оказания услуг и (или) выполнения работ по капитальному ремонту общего имущества в многоквартирном доме, порядке осуществления закупок товаров, работ, услуг в целях выполнения функций специализированной некоммерческой организации, осущ</w:t>
      </w:r>
      <w:r>
        <w:rPr>
          <w:rFonts w:ascii="Times New Roman" w:hAnsi="Times New Roman" w:eastAsia="Times New Roman" w:cs="Times New Roman"/>
        </w:rPr>
        <w:t xml:space="preserve">ествляющей деятельность, направленную на обеспечение проведения капитального ремонта общего имущества в многоквартирных домах, о порядке осуществления специализированной некоммерческой организацией, осуществляющей деятельность, направленную на обеспечение </w:t>
      </w:r>
      <w:r>
        <w:rPr>
          <w:rFonts w:ascii="Times New Roman" w:hAnsi="Times New Roman" w:eastAsia="Times New Roman" w:cs="Times New Roman"/>
        </w:rPr>
        <w:t xml:space="preserve">проведения капитального ремонта общего имущества в многоквартирных домах, закупки товаров (материалов и оборудования, в том числе высокотехнологичного оборудования), необходимых для оказания услуг и (или) выполнения работ по капитальному ремонту общего иму</w:t>
      </w:r>
      <w:r>
        <w:rPr>
          <w:rFonts w:ascii="Times New Roman" w:hAnsi="Times New Roman" w:eastAsia="Times New Roman" w:cs="Times New Roman"/>
        </w:rPr>
        <w:t xml:space="preserve">щества в многоквартирном доме, и реализации закупленных и не использованных на проведение капитального ремонта общего имущества в многоквартирном доме товаров (материалов и оборудования, в том числе высокотехнологичного оборудования)» (далее - Положение). </w:t>
      </w:r>
      <w:r>
        <w:rPr>
          <w:rFonts w:ascii="Times New Roman" w:hAnsi="Times New Roman" w:cs="Times New Roman"/>
        </w:rPr>
      </w:r>
    </w:p>
    <w:p>
      <w:pPr>
        <w:pStyle w:val="726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Перечень моих персональных данных, на обработку которых я даю согласие: фамилия, имя, отчество (при наличии), дата рождения, номер основног</w:t>
      </w:r>
      <w:r>
        <w:rPr>
          <w:rFonts w:ascii="Times New Roman" w:hAnsi="Times New Roman" w:eastAsia="Times New Roman" w:cs="Times New Roman"/>
        </w:rPr>
        <w:t xml:space="preserve">о документа, удостоверяющего личность, страховой номер индивидуального лицевого счета, данные об образовании (диплом), данные подтверждающих соответствие уровня квалификации (сертификаты, аттестаты и удостоверения), а также данные о трудовой деятельности. </w:t>
      </w:r>
      <w:r>
        <w:rPr>
          <w:rFonts w:ascii="Times New Roman" w:hAnsi="Times New Roman" w:cs="Times New Roman"/>
        </w:rPr>
      </w:r>
    </w:p>
    <w:p>
      <w:pPr>
        <w:pStyle w:val="726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Разрешаю оператору производить автоматизированную, а также осуществляемую без использования средств автома</w:t>
      </w:r>
      <w:r>
        <w:rPr>
          <w:rFonts w:ascii="Times New Roman" w:hAnsi="Times New Roman" w:eastAsia="Times New Roman" w:cs="Times New Roman"/>
        </w:rPr>
        <w:t xml:space="preserve">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Министерству жилищно-коммунального хозяйства и энергетики Новосибирской области</w:t>
      </w:r>
      <w:r>
        <w:rPr>
          <w:rFonts w:ascii="Times New Roman" w:hAnsi="Times New Roman" w:eastAsia="Times New Roman" w:cs="Times New Roman"/>
        </w:rPr>
        <w:t xml:space="preserve">. </w:t>
      </w:r>
      <w:r>
        <w:rPr>
          <w:rFonts w:ascii="Times New Roman" w:hAnsi="Times New Roman" w:cs="Times New Roman"/>
        </w:rPr>
      </w:r>
    </w:p>
    <w:p>
      <w:pPr>
        <w:pStyle w:val="726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Согласие вступает в силу со дня его подписания и действуют в случае: </w:t>
      </w:r>
      <w:r>
        <w:rPr>
          <w:rFonts w:ascii="Times New Roman" w:hAnsi="Times New Roman" w:cs="Times New Roman"/>
        </w:rPr>
      </w:r>
    </w:p>
    <w:p>
      <w:pPr>
        <w:pStyle w:val="726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включения участника предварительного отбора (наименование участника предварительного отбора и ИНН) в РКПО по день исключения подрядной организации из РКПО на основании п. 66 Положения; </w:t>
      </w:r>
      <w:r>
        <w:rPr>
          <w:rFonts w:ascii="Times New Roman" w:hAnsi="Times New Roman" w:cs="Times New Roman"/>
        </w:rPr>
      </w:r>
    </w:p>
    <w:p>
      <w:pPr>
        <w:pStyle w:val="726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не включения в РКПО в течение срока, предусмотренного для обжалования решения Комиссии по предварительному отбору, установленного законодательством Российской Федерации. </w:t>
      </w:r>
      <w:r>
        <w:rPr>
          <w:rFonts w:ascii="Times New Roman" w:hAnsi="Times New Roman" w:cs="Times New Roman"/>
        </w:rPr>
      </w:r>
    </w:p>
    <w:p>
      <w:pPr>
        <w:pStyle w:val="726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Субъект персональных данных вправе отозвать настоящее согласие на обработку своих персональных данных, письменно уведомив об этом оператора.</w:t>
      </w:r>
      <w:r>
        <w:rPr>
          <w:rFonts w:ascii="Times New Roman" w:hAnsi="Times New Roman" w:cs="Times New Roman"/>
        </w:rPr>
      </w:r>
    </w:p>
    <w:p>
      <w:pPr>
        <w:pStyle w:val="726"/>
        <w:ind w:left="0" w:right="0" w:firstLine="709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Субъект персональных данных: </w:t>
      </w:r>
      <w:r>
        <w:rPr>
          <w:rFonts w:ascii="Times New Roman" w:hAnsi="Times New Roman" w:cs="Times New Roman"/>
          <w:highlight w:val="none"/>
        </w:rPr>
      </w:r>
    </w:p>
    <w:p>
      <w:pPr>
        <w:pStyle w:val="726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726"/>
        <w:ind w:left="0" w:right="0" w:firstLine="709"/>
        <w:jc w:val="left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«           »          20     г. </w:t>
      </w:r>
      <w:r>
        <w:rPr>
          <w:rFonts w:ascii="Times New Roman" w:hAnsi="Times New Roman" w:cs="Times New Roman"/>
          <w:highlight w:val="none"/>
        </w:rPr>
      </w:r>
    </w:p>
    <w:p>
      <w:pPr>
        <w:pStyle w:val="726"/>
        <w:ind w:left="0" w:right="0" w:firstLine="709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726"/>
        <w:ind w:left="0" w:right="0" w:firstLine="709"/>
        <w:jc w:val="left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_______________________________________________________________</w:t>
      </w:r>
      <w:r>
        <w:rPr>
          <w:rFonts w:ascii="Times New Roman" w:hAnsi="Times New Roman" w:eastAsia="Times New Roman" w:cs="Times New Roman"/>
        </w:rPr>
        <w:t xml:space="preserve">__</w:t>
      </w:r>
      <w:r>
        <w:rPr>
          <w:rFonts w:ascii="Times New Roman" w:hAnsi="Times New Roman" w:cs="Times New Roman"/>
          <w:highlight w:val="none"/>
        </w:rPr>
      </w:r>
    </w:p>
    <w:p>
      <w:pPr>
        <w:pStyle w:val="726"/>
        <w:ind w:left="0" w:right="0" w:firstLine="709"/>
        <w:jc w:val="left"/>
        <w:rPr>
          <w:rFonts w:ascii="Times New Roman" w:hAnsi="Times New Roman" w:cs="Times New Roman"/>
          <w:bCs/>
          <w:i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(подпись)                           (Ф.И.О. с расшифровкой)                          (дата подписания согласия) </w:t>
      </w:r>
      <w:r>
        <w:rPr>
          <w:rFonts w:ascii="Times New Roman" w:hAnsi="Times New Roman" w:cs="Times New Roman"/>
          <w:bCs/>
          <w:i/>
          <w:sz w:val="22"/>
          <w:szCs w:val="22"/>
        </w:rPr>
      </w:r>
    </w:p>
    <w:p>
      <w:pPr>
        <w:pStyle w:val="726"/>
        <w:ind w:left="0" w:right="0" w:firstLine="0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726"/>
        <w:ind w:left="0" w:right="0" w:firstLine="709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726"/>
        <w:ind w:left="0" w:right="0" w:firstLine="0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726"/>
        <w:ind w:left="0" w:right="0" w:firstLine="0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Согласие на обработку персональных данных заполняется собственноручно синей ручкой</w:t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</w:pPr>
      <w:r/>
      <w:r/>
    </w:p>
    <w:p>
      <w:pPr>
        <w:pStyle w:val="726"/>
      </w:pPr>
      <w:r/>
      <w:r/>
    </w:p>
    <w:p>
      <w:pPr>
        <w:pStyle w:val="726"/>
        <w:jc w:val="center"/>
        <w:spacing w:before="0"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  <w:highlight w:val="cyan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highlight w:val="cyan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cyan"/>
        </w:rPr>
      </w:r>
    </w:p>
    <w:p>
      <w:pPr>
        <w:pStyle w:val="72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26"/>
        <w:ind w:left="360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726"/>
        <w:ind w:left="360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sectPr>
      <w:headerReference w:type="default" r:id="rId14"/>
      <w:headerReference w:type="first" r:id="rId15"/>
      <w:footnotePr/>
      <w:endnotePr/>
      <w:type w:val="nextPage"/>
      <w:pgSz w:w="11906" w:h="16838" w:orient="portrait"/>
      <w:pgMar w:top="1134" w:right="567" w:bottom="1134" w:left="1418" w:header="708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Sans Serif">
    <w:panose1 w:val="02000603000000000000"/>
  </w:font>
  <w:font w:name="Mangal">
    <w:panose1 w:val="02040503050406030204"/>
  </w:font>
  <w:font w:name="Liberation Sans">
    <w:panose1 w:val="020B0604020202020204"/>
  </w:font>
  <w:font w:name="Microsoft YaHei">
    <w:panose1 w:val="020B05030202030202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8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 xml:space="preserve">17</w:t>
    </w:r>
    <w:r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</w:r>
  </w:p>
  <w:p>
    <w:pPr>
      <w:pStyle w:val="80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8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 xml:space="preserve">20</w:t>
    </w:r>
    <w:r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</w:r>
  </w:p>
  <w:p>
    <w:pPr>
      <w:pStyle w:val="808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8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 xml:space="preserve">24</w:t>
    </w:r>
    <w:r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</w:r>
  </w:p>
  <w:p>
    <w:pPr>
      <w:pStyle w:val="808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8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 xml:space="preserve">26</w:t>
    </w:r>
    <w:r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</w:r>
  </w:p>
  <w:p>
    <w:pPr>
      <w:pStyle w:val="808"/>
    </w:pPr>
    <w:r/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192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4056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560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064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568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72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576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152" w:hanging="144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26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27">
    <w:name w:val="Heading 1"/>
    <w:basedOn w:val="72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28">
    <w:name w:val="Heading 2"/>
    <w:basedOn w:val="72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9">
    <w:name w:val="Heading 3"/>
    <w:basedOn w:val="72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30">
    <w:name w:val="Heading 4"/>
    <w:basedOn w:val="72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31">
    <w:name w:val="Heading 5"/>
    <w:basedOn w:val="72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32">
    <w:name w:val="Heading 6"/>
    <w:basedOn w:val="72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33">
    <w:name w:val="Heading 7"/>
    <w:basedOn w:val="7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4">
    <w:name w:val="Heading 8"/>
    <w:basedOn w:val="7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35">
    <w:name w:val="Heading 9"/>
    <w:basedOn w:val="72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6">
    <w:name w:val="Heading 1 Char"/>
    <w:basedOn w:val="758"/>
    <w:uiPriority w:val="9"/>
    <w:qFormat/>
    <w:rPr>
      <w:rFonts w:ascii="Arial" w:hAnsi="Arial" w:eastAsia="Arial" w:cs="Arial"/>
      <w:sz w:val="40"/>
      <w:szCs w:val="40"/>
    </w:rPr>
  </w:style>
  <w:style w:type="character" w:styleId="737">
    <w:name w:val="Heading 2 Char"/>
    <w:basedOn w:val="758"/>
    <w:uiPriority w:val="9"/>
    <w:qFormat/>
    <w:rPr>
      <w:rFonts w:ascii="Arial" w:hAnsi="Arial" w:eastAsia="Arial" w:cs="Arial"/>
      <w:sz w:val="34"/>
    </w:rPr>
  </w:style>
  <w:style w:type="character" w:styleId="738">
    <w:name w:val="Heading 3 Char"/>
    <w:basedOn w:val="758"/>
    <w:uiPriority w:val="9"/>
    <w:qFormat/>
    <w:rPr>
      <w:rFonts w:ascii="Arial" w:hAnsi="Arial" w:eastAsia="Arial" w:cs="Arial"/>
      <w:sz w:val="30"/>
      <w:szCs w:val="30"/>
    </w:rPr>
  </w:style>
  <w:style w:type="character" w:styleId="739">
    <w:name w:val="Heading 4 Char"/>
    <w:basedOn w:val="758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40">
    <w:name w:val="Heading 5 Char"/>
    <w:basedOn w:val="758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41">
    <w:name w:val="Heading 6 Char"/>
    <w:basedOn w:val="758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42">
    <w:name w:val="Heading 7 Char"/>
    <w:basedOn w:val="758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43">
    <w:name w:val="Heading 8 Char"/>
    <w:basedOn w:val="75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44">
    <w:name w:val="Heading 9 Char"/>
    <w:basedOn w:val="758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45">
    <w:name w:val="Title Char"/>
    <w:basedOn w:val="758"/>
    <w:uiPriority w:val="10"/>
    <w:qFormat/>
    <w:rPr>
      <w:sz w:val="48"/>
      <w:szCs w:val="48"/>
    </w:rPr>
  </w:style>
  <w:style w:type="character" w:styleId="746">
    <w:name w:val="Subtitle Char"/>
    <w:basedOn w:val="758"/>
    <w:uiPriority w:val="11"/>
    <w:qFormat/>
    <w:rPr>
      <w:sz w:val="24"/>
      <w:szCs w:val="24"/>
    </w:rPr>
  </w:style>
  <w:style w:type="character" w:styleId="747">
    <w:name w:val="Quote Char"/>
    <w:uiPriority w:val="29"/>
    <w:qFormat/>
    <w:rPr>
      <w:i/>
    </w:rPr>
  </w:style>
  <w:style w:type="character" w:styleId="748">
    <w:name w:val="Intense Quote Char"/>
    <w:uiPriority w:val="30"/>
    <w:qFormat/>
    <w:rPr>
      <w:i/>
    </w:rPr>
  </w:style>
  <w:style w:type="character" w:styleId="749">
    <w:name w:val="Header Char"/>
    <w:basedOn w:val="758"/>
    <w:uiPriority w:val="99"/>
    <w:qFormat/>
  </w:style>
  <w:style w:type="character" w:styleId="750">
    <w:name w:val="Footer Char"/>
    <w:basedOn w:val="758"/>
    <w:uiPriority w:val="99"/>
    <w:qFormat/>
  </w:style>
  <w:style w:type="character" w:styleId="751">
    <w:name w:val="Caption Char"/>
    <w:uiPriority w:val="99"/>
    <w:qFormat/>
  </w:style>
  <w:style w:type="character" w:styleId="752">
    <w:name w:val="Footnote Text Char"/>
    <w:uiPriority w:val="99"/>
    <w:qFormat/>
    <w:rPr>
      <w:sz w:val="18"/>
    </w:rPr>
  </w:style>
  <w:style w:type="character" w:styleId="753">
    <w:name w:val="Footnote Characters"/>
    <w:uiPriority w:val="99"/>
    <w:unhideWhenUsed/>
    <w:qFormat/>
    <w:rPr>
      <w:vertAlign w:val="superscript"/>
    </w:rPr>
  </w:style>
  <w:style w:type="character" w:styleId="754">
    <w:name w:val="footnote reference"/>
    <w:rPr>
      <w:vertAlign w:val="superscript"/>
    </w:rPr>
  </w:style>
  <w:style w:type="character" w:styleId="755">
    <w:name w:val="Endnote Text Char"/>
    <w:uiPriority w:val="99"/>
    <w:qFormat/>
    <w:rPr>
      <w:sz w:val="20"/>
    </w:rPr>
  </w:style>
  <w:style w:type="character" w:styleId="756">
    <w:name w:val="Endnote Characters"/>
    <w:uiPriority w:val="99"/>
    <w:semiHidden/>
    <w:unhideWhenUsed/>
    <w:qFormat/>
    <w:rPr>
      <w:vertAlign w:val="superscript"/>
    </w:rPr>
  </w:style>
  <w:style w:type="character" w:styleId="757">
    <w:name w:val="endnote reference"/>
    <w:rPr>
      <w:vertAlign w:val="superscript"/>
    </w:rPr>
  </w:style>
  <w:style w:type="character" w:styleId="758" w:default="1">
    <w:name w:val="Default Paragraph Font"/>
    <w:uiPriority w:val="1"/>
    <w:semiHidden/>
    <w:unhideWhenUsed/>
    <w:qFormat/>
  </w:style>
  <w:style w:type="character" w:styleId="759">
    <w:name w:val="Hyperlink"/>
    <w:basedOn w:val="758"/>
    <w:uiPriority w:val="99"/>
    <w:unhideWhenUsed/>
    <w:rPr>
      <w:color w:val="0563c1" w:themeColor="hyperlink"/>
      <w:u w:val="single"/>
    </w:rPr>
  </w:style>
  <w:style w:type="character" w:styleId="760" w:customStyle="1">
    <w:name w:val="Гипертекстовая ссылка"/>
    <w:basedOn w:val="758"/>
    <w:uiPriority w:val="99"/>
    <w:qFormat/>
    <w:rPr>
      <w:b/>
      <w:bCs/>
      <w:color w:val="106bbe"/>
    </w:rPr>
  </w:style>
  <w:style w:type="character" w:styleId="761">
    <w:name w:val="FollowedHyperlink"/>
    <w:basedOn w:val="758"/>
    <w:uiPriority w:val="99"/>
    <w:semiHidden/>
    <w:unhideWhenUsed/>
    <w:rPr>
      <w:color w:val="800080"/>
      <w:u w:val="single"/>
    </w:rPr>
  </w:style>
  <w:style w:type="character" w:styleId="762" w:customStyle="1">
    <w:name w:val="Верхний колонтитул Знак"/>
    <w:basedOn w:val="758"/>
    <w:uiPriority w:val="99"/>
    <w:qFormat/>
  </w:style>
  <w:style w:type="character" w:styleId="763" w:customStyle="1">
    <w:name w:val="Нижний колонтитул Знак"/>
    <w:basedOn w:val="758"/>
    <w:uiPriority w:val="99"/>
    <w:qFormat/>
  </w:style>
  <w:style w:type="character" w:styleId="764" w:customStyle="1">
    <w:name w:val="Текст выноски Знак"/>
    <w:basedOn w:val="758"/>
    <w:uiPriority w:val="99"/>
    <w:semiHidden/>
    <w:qFormat/>
    <w:rPr>
      <w:rFonts w:ascii="Tahoma" w:hAnsi="Tahoma" w:cs="Tahoma"/>
      <w:sz w:val="16"/>
      <w:szCs w:val="16"/>
    </w:rPr>
  </w:style>
  <w:style w:type="character" w:styleId="765" w:customStyle="1">
    <w:name w:val="ConsPlusNormal Знак"/>
    <w:qFormat/>
    <w:rPr>
      <w:rFonts w:ascii="Calibri" w:hAnsi="Calibri" w:eastAsia="Times New Roman" w:cs="Calibri"/>
      <w:szCs w:val="20"/>
      <w:lang w:eastAsia="ru-RU"/>
    </w:rPr>
  </w:style>
  <w:style w:type="paragraph" w:styleId="766">
    <w:name w:val="Heading"/>
    <w:basedOn w:val="726"/>
    <w:next w:val="76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767">
    <w:name w:val="Body Text"/>
    <w:basedOn w:val="726"/>
    <w:pPr>
      <w:spacing w:before="0" w:after="140" w:line="276" w:lineRule="auto"/>
    </w:pPr>
  </w:style>
  <w:style w:type="paragraph" w:styleId="768">
    <w:name w:val="List"/>
    <w:basedOn w:val="767"/>
    <w:rPr>
      <w:rFonts w:cs="Mangal"/>
    </w:rPr>
  </w:style>
  <w:style w:type="paragraph" w:styleId="769">
    <w:name w:val="Caption"/>
    <w:basedOn w:val="72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70">
    <w:name w:val="Index"/>
    <w:basedOn w:val="726"/>
    <w:qFormat/>
    <w:pPr>
      <w:suppressLineNumbers/>
    </w:pPr>
    <w:rPr>
      <w:rFonts w:cs="Mangal"/>
    </w:rPr>
  </w:style>
  <w:style w:type="paragraph" w:styleId="771">
    <w:name w:val="Title"/>
    <w:basedOn w:val="726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72">
    <w:name w:val="Subtitle"/>
    <w:basedOn w:val="726"/>
    <w:uiPriority w:val="11"/>
    <w:qFormat/>
    <w:pPr>
      <w:spacing w:before="200" w:after="200"/>
    </w:pPr>
    <w:rPr>
      <w:sz w:val="24"/>
      <w:szCs w:val="24"/>
    </w:rPr>
  </w:style>
  <w:style w:type="paragraph" w:styleId="773">
    <w:name w:val="Quote"/>
    <w:basedOn w:val="726"/>
    <w:uiPriority w:val="29"/>
    <w:qFormat/>
    <w:pPr>
      <w:ind w:left="720" w:right="720"/>
    </w:pPr>
    <w:rPr>
      <w:i/>
    </w:rPr>
  </w:style>
  <w:style w:type="paragraph" w:styleId="774">
    <w:name w:val="Intense Quote"/>
    <w:basedOn w:val="726"/>
    <w:uiPriority w:val="30"/>
    <w:qFormat/>
    <w:pPr>
      <w:ind w:left="720" w:right="72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75">
    <w:name w:val="footnote text"/>
    <w:basedOn w:val="726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76">
    <w:name w:val="endnote text"/>
    <w:basedOn w:val="726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77">
    <w:name w:val="toc 1"/>
    <w:basedOn w:val="726"/>
    <w:uiPriority w:val="39"/>
    <w:unhideWhenUsed/>
    <w:pPr>
      <w:ind w:left="0" w:right="0" w:firstLine="0"/>
      <w:spacing w:before="0" w:after="57"/>
    </w:pPr>
  </w:style>
  <w:style w:type="paragraph" w:styleId="778">
    <w:name w:val="toc 2"/>
    <w:basedOn w:val="726"/>
    <w:uiPriority w:val="39"/>
    <w:unhideWhenUsed/>
    <w:pPr>
      <w:ind w:left="283" w:right="0" w:firstLine="0"/>
      <w:spacing w:before="0" w:after="57"/>
    </w:pPr>
  </w:style>
  <w:style w:type="paragraph" w:styleId="779">
    <w:name w:val="toc 3"/>
    <w:basedOn w:val="726"/>
    <w:uiPriority w:val="39"/>
    <w:unhideWhenUsed/>
    <w:pPr>
      <w:ind w:left="567" w:right="0" w:firstLine="0"/>
      <w:spacing w:before="0" w:after="57"/>
    </w:pPr>
  </w:style>
  <w:style w:type="paragraph" w:styleId="780">
    <w:name w:val="toc 4"/>
    <w:basedOn w:val="726"/>
    <w:uiPriority w:val="39"/>
    <w:unhideWhenUsed/>
    <w:pPr>
      <w:ind w:left="850" w:right="0" w:firstLine="0"/>
      <w:spacing w:before="0" w:after="57"/>
    </w:pPr>
  </w:style>
  <w:style w:type="paragraph" w:styleId="781">
    <w:name w:val="toc 5"/>
    <w:basedOn w:val="726"/>
    <w:uiPriority w:val="39"/>
    <w:unhideWhenUsed/>
    <w:pPr>
      <w:ind w:left="1134" w:right="0" w:firstLine="0"/>
      <w:spacing w:before="0" w:after="57"/>
    </w:pPr>
  </w:style>
  <w:style w:type="paragraph" w:styleId="782">
    <w:name w:val="toc 6"/>
    <w:basedOn w:val="726"/>
    <w:uiPriority w:val="39"/>
    <w:unhideWhenUsed/>
    <w:pPr>
      <w:ind w:left="1417" w:right="0" w:firstLine="0"/>
      <w:spacing w:before="0" w:after="57"/>
    </w:pPr>
  </w:style>
  <w:style w:type="paragraph" w:styleId="783">
    <w:name w:val="toc 7"/>
    <w:basedOn w:val="726"/>
    <w:uiPriority w:val="39"/>
    <w:unhideWhenUsed/>
    <w:pPr>
      <w:ind w:left="1701" w:right="0" w:firstLine="0"/>
      <w:spacing w:before="0" w:after="57"/>
    </w:pPr>
  </w:style>
  <w:style w:type="paragraph" w:styleId="784">
    <w:name w:val="toc 8"/>
    <w:basedOn w:val="726"/>
    <w:uiPriority w:val="39"/>
    <w:unhideWhenUsed/>
    <w:pPr>
      <w:ind w:left="1984" w:right="0" w:firstLine="0"/>
      <w:spacing w:before="0" w:after="57"/>
    </w:pPr>
  </w:style>
  <w:style w:type="paragraph" w:styleId="785">
    <w:name w:val="toc 9"/>
    <w:basedOn w:val="726"/>
    <w:uiPriority w:val="39"/>
    <w:unhideWhenUsed/>
    <w:pPr>
      <w:ind w:left="2268" w:right="0" w:firstLine="0"/>
      <w:spacing w:before="0" w:after="57"/>
    </w:pPr>
  </w:style>
  <w:style w:type="paragraph" w:styleId="786">
    <w:name w:val="Index Heading"/>
    <w:basedOn w:val="766"/>
  </w:style>
  <w:style w:type="paragraph" w:styleId="787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88">
    <w:name w:val="table of figures"/>
    <w:basedOn w:val="726"/>
    <w:uiPriority w:val="99"/>
    <w:unhideWhenUsed/>
    <w:pPr>
      <w:spacing w:before="0" w:after="0" w:afterAutospacing="0"/>
    </w:pPr>
  </w:style>
  <w:style w:type="paragraph" w:styleId="789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Arial" w:hAnsi="Arial" w:eastAsia="Times New Roman" w:cs="Arial" w:cstheme="minorBidi"/>
      <w:color w:val="auto"/>
      <w:sz w:val="24"/>
      <w:szCs w:val="24"/>
      <w:lang w:val="ru-RU" w:eastAsia="ru-RU" w:bidi="ar-SA"/>
    </w:rPr>
  </w:style>
  <w:style w:type="paragraph" w:styleId="790" w:customStyle="1">
    <w:name w:val="xl63"/>
    <w:basedOn w:val="726"/>
    <w:qFormat/>
    <w:pPr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  <w:right w:val="single" w:color="D0D7E5" w:sz="4" w:space="0"/>
      </w:pBdr>
    </w:pPr>
    <w:rPr>
      <w:rFonts w:ascii="Calibri" w:hAnsi="Calibri" w:eastAsia="Times New Roman" w:cs="Times New Roman"/>
      <w:color w:val="000000"/>
      <w:lang w:eastAsia="ru-RU"/>
    </w:rPr>
  </w:style>
  <w:style w:type="paragraph" w:styleId="791" w:customStyle="1">
    <w:name w:val="xl65"/>
    <w:basedOn w:val="726"/>
    <w:qFormat/>
    <w:pPr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  <w:right w:val="single" w:color="D0D7E5" w:sz="4" w:space="0"/>
      </w:pBdr>
    </w:pPr>
    <w:rPr>
      <w:rFonts w:ascii="Calibri" w:hAnsi="Calibri" w:eastAsia="Times New Roman" w:cs="Times New Roman"/>
      <w:color w:val="000000"/>
      <w:lang w:eastAsia="ru-RU"/>
    </w:rPr>
  </w:style>
  <w:style w:type="paragraph" w:styleId="792" w:customStyle="1">
    <w:name w:val="xl64"/>
    <w:basedOn w:val="726"/>
    <w:qFormat/>
    <w:pPr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  <w:right w:val="single" w:color="D0D7E5" w:sz="4" w:space="0"/>
      </w:pBdr>
    </w:pPr>
    <w:rPr>
      <w:rFonts w:ascii="Calibri" w:hAnsi="Calibri" w:eastAsia="Times New Roman" w:cs="Times New Roman"/>
      <w:color w:val="000000"/>
      <w:lang w:eastAsia="ru-RU"/>
    </w:rPr>
  </w:style>
  <w:style w:type="paragraph" w:styleId="793" w:customStyle="1">
    <w:name w:val="xl66"/>
    <w:basedOn w:val="726"/>
    <w:qFormat/>
    <w:pPr>
      <w:jc w:val="center"/>
      <w:spacing w:beforeAutospacing="1" w:afterAutospacing="1" w:line="240" w:lineRule="auto"/>
      <w:pBdr>
        <w:bottom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794" w:customStyle="1">
    <w:name w:val="xl67"/>
    <w:basedOn w:val="726"/>
    <w:qFormat/>
    <w:pPr>
      <w:jc w:val="center"/>
      <w:spacing w:beforeAutospacing="1" w:afterAutospacing="1" w:line="240" w:lineRule="auto"/>
      <w:pBdr>
        <w:bottom w:val="single" w:color="D0D7E5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95" w:customStyle="1">
    <w:name w:val="xl68"/>
    <w:basedOn w:val="726"/>
    <w:qFormat/>
    <w:pPr>
      <w:jc w:val="center"/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796" w:customStyle="1">
    <w:name w:val="xl69"/>
    <w:basedOn w:val="726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797" w:customStyle="1">
    <w:name w:val="xl70"/>
    <w:basedOn w:val="726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  <w:right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798" w:customStyle="1">
    <w:name w:val="xl71"/>
    <w:basedOn w:val="726"/>
    <w:qFormat/>
    <w:pPr>
      <w:jc w:val="center"/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</w:pBdr>
    </w:pPr>
    <w:rPr>
      <w:rFonts w:ascii="Calibri" w:hAnsi="Calibri" w:eastAsia="Times New Roman" w:cs="Times New Roman"/>
      <w:color w:val="000000"/>
      <w:lang w:eastAsia="ru-RU"/>
    </w:rPr>
  </w:style>
  <w:style w:type="paragraph" w:styleId="799" w:customStyle="1">
    <w:name w:val="xl72"/>
    <w:basedOn w:val="726"/>
    <w:qFormat/>
    <w:pPr>
      <w:jc w:val="center"/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800" w:customStyle="1">
    <w:name w:val="xl73"/>
    <w:basedOn w:val="726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801" w:customStyle="1">
    <w:name w:val="xl74"/>
    <w:basedOn w:val="726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  <w:right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802" w:customStyle="1">
    <w:name w:val="xl75"/>
    <w:basedOn w:val="726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03" w:customStyle="1">
    <w:name w:val="xl76"/>
    <w:basedOn w:val="726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  <w:right w:val="single" w:color="D0D7E5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04" w:customStyle="1">
    <w:name w:val="xl77"/>
    <w:basedOn w:val="726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</w:pBdr>
    </w:pPr>
    <w:rPr>
      <w:rFonts w:ascii="MS Sans Serif" w:hAnsi="MS Sans Serif" w:eastAsia="Times New Roman" w:cs="Times New Roman"/>
      <w:b/>
      <w:bCs/>
      <w:sz w:val="24"/>
      <w:szCs w:val="24"/>
      <w:lang w:eastAsia="ru-RU"/>
    </w:rPr>
  </w:style>
  <w:style w:type="paragraph" w:styleId="805" w:customStyle="1">
    <w:name w:val="xl78"/>
    <w:basedOn w:val="726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  <w:right w:val="single" w:color="D0D7E5" w:sz="4" w:space="0"/>
      </w:pBdr>
    </w:pPr>
    <w:rPr>
      <w:rFonts w:ascii="MS Sans Serif" w:hAnsi="MS Sans Serif" w:eastAsia="Times New Roman" w:cs="Times New Roman"/>
      <w:b/>
      <w:bCs/>
      <w:sz w:val="24"/>
      <w:szCs w:val="24"/>
      <w:lang w:eastAsia="ru-RU"/>
    </w:rPr>
  </w:style>
  <w:style w:type="paragraph" w:styleId="806">
    <w:name w:val="List Paragraph"/>
    <w:basedOn w:val="726"/>
    <w:uiPriority w:val="34"/>
    <w:qFormat/>
    <w:pPr>
      <w:contextualSpacing/>
      <w:ind w:left="720"/>
      <w:spacing w:before="0" w:after="160"/>
    </w:pPr>
  </w:style>
  <w:style w:type="paragraph" w:styleId="807">
    <w:name w:val="Header and Footer"/>
    <w:basedOn w:val="726"/>
    <w:qFormat/>
  </w:style>
  <w:style w:type="paragraph" w:styleId="808">
    <w:name w:val="Header"/>
    <w:basedOn w:val="726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09">
    <w:name w:val="Footer"/>
    <w:basedOn w:val="726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10">
    <w:name w:val="Balloon Text"/>
    <w:basedOn w:val="726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811" w:customStyle="1">
    <w:name w:val="ConsPlusNormal"/>
    <w:qFormat/>
    <w:pPr>
      <w:jc w:val="left"/>
      <w:spacing w:before="0" w:beforeAutospacing="0" w:after="0" w:afterAutospacing="0" w:line="240" w:lineRule="auto"/>
      <w:widowControl w:val="off"/>
    </w:pPr>
    <w:rPr>
      <w:rFonts w:ascii="Calibri" w:hAnsi="Calibri" w:eastAsia="Times New Roman" w:cs="Calibri" w:asciiTheme="minorHAnsi" w:hAnsiTheme="minorHAnsi"/>
      <w:color w:val="auto"/>
      <w:sz w:val="22"/>
      <w:szCs w:val="20"/>
      <w:lang w:val="ru-RU" w:eastAsia="ru-RU" w:bidi="ar-SA"/>
    </w:rPr>
  </w:style>
  <w:style w:type="numbering" w:styleId="812" w:default="1">
    <w:name w:val="No List"/>
    <w:uiPriority w:val="99"/>
    <w:semiHidden/>
    <w:unhideWhenUsed/>
    <w:qFormat/>
  </w:style>
  <w:style w:type="table" w:styleId="512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customXml" Target="../customXml/item1.xml" /><Relationship Id="rId17" Type="http://schemas.openxmlformats.org/officeDocument/2006/relationships/hyperlink" Target="http://docs.cntd.ru/document/902192610" TargetMode="External"/><Relationship Id="rId18" Type="http://schemas.openxmlformats.org/officeDocument/2006/relationships/hyperlink" Target="http://docs.cntd.ru/document/902186281" TargetMode="External"/><Relationship Id="rId19" Type="http://schemas.openxmlformats.org/officeDocument/2006/relationships/hyperlink" Target="http://www.mjkh.nso.ru/page/724." TargetMode="External"/><Relationship Id="rId20" Type="http://schemas.openxmlformats.org/officeDocument/2006/relationships/hyperlink" Target="consultantplus://offline/ref=1A5ACDC7DDF8F0887A5F947293FE2CE5F6F787A58646A3FC26F6FA80EC4498F2B4F4B29DE25C6665B142ABBE2349634291F5A8A8AAE2S3H" TargetMode="External"/><Relationship Id="rId21" Type="http://schemas.openxmlformats.org/officeDocument/2006/relationships/hyperlink" Target="consultantplus://offline/ref=A2283303C7D254AD7348380E740FF25A10E2ED22CEB7A37225481EC656EC239C45C4E1787FF2A849uEg7B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698CD-0D6E-4D5E-AD52-68A27A678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АГНОиПНО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pc004</dc:creator>
  <dc:description/>
  <dc:language>ru-RU</dc:language>
  <cp:revision>83</cp:revision>
  <dcterms:created xsi:type="dcterms:W3CDTF">2021-11-15T02:28:00Z</dcterms:created>
  <dcterms:modified xsi:type="dcterms:W3CDTF">2026-04-09T04:50:44Z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